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717520">
        <w:rPr>
          <w:sz w:val="26"/>
          <w:szCs w:val="26"/>
          <w:lang w:eastAsia="ru-RU"/>
        </w:rPr>
        <w:t>8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9224F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  <w:r w:rsidRPr="00E02F11">
        <w:rPr>
          <w:sz w:val="26"/>
          <w:szCs w:val="26"/>
          <w:lang w:eastAsia="ru-RU"/>
        </w:rPr>
        <w:t xml:space="preserve"> 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«Пограничная средняя общеобразовательная школа № </w:t>
      </w:r>
      <w:r w:rsidR="001C752F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</w:t>
      </w:r>
    </w:p>
    <w:p w:rsidR="00FF2CB5" w:rsidRPr="00E02F11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9224F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(МБОУ «ПСОШ № </w:t>
      </w:r>
      <w:r>
        <w:rPr>
          <w:sz w:val="26"/>
          <w:szCs w:val="26"/>
          <w:lang w:eastAsia="ru-RU"/>
        </w:rPr>
        <w:t>2</w:t>
      </w:r>
      <w:r w:rsidR="00FF2CB5" w:rsidRPr="00E02F11">
        <w:rPr>
          <w:sz w:val="26"/>
          <w:szCs w:val="26"/>
          <w:lang w:eastAsia="ru-RU"/>
        </w:rPr>
        <w:t xml:space="preserve"> ПМ</w:t>
      </w:r>
      <w:r w:rsidR="0039224F">
        <w:rPr>
          <w:sz w:val="26"/>
          <w:szCs w:val="26"/>
          <w:lang w:eastAsia="ru-RU"/>
        </w:rPr>
        <w:t>О</w:t>
      </w:r>
      <w:r w:rsidR="00EF7B96">
        <w:rPr>
          <w:sz w:val="26"/>
          <w:szCs w:val="26"/>
          <w:lang w:eastAsia="ru-RU"/>
        </w:rPr>
        <w:t>»</w:t>
      </w:r>
      <w:r w:rsidR="00FF2CB5"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717520" w:rsidRPr="000525BA" w:rsidRDefault="00717520" w:rsidP="007175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717520" w:rsidRPr="00E02F11" w:rsidRDefault="00717520" w:rsidP="0071752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717520" w:rsidRPr="00E02F11" w:rsidRDefault="00717520" w:rsidP="00717520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DF6A04" w:rsidRPr="00E02F11" w:rsidRDefault="0039224F" w:rsidP="0039224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Муниципальное бюджетное </w:t>
      </w:r>
      <w:r w:rsidR="0039224F">
        <w:rPr>
          <w:sz w:val="26"/>
          <w:szCs w:val="26"/>
        </w:rPr>
        <w:t>обще</w:t>
      </w:r>
      <w:r w:rsidRPr="002017F3">
        <w:rPr>
          <w:sz w:val="26"/>
          <w:szCs w:val="26"/>
        </w:rPr>
        <w:t>образовательное учреждение «</w:t>
      </w:r>
      <w:r w:rsidRPr="002017F3">
        <w:rPr>
          <w:sz w:val="26"/>
          <w:szCs w:val="26"/>
          <w:lang w:eastAsia="ru-RU"/>
        </w:rPr>
        <w:t>Пограничная средняя общеобразовательная школа № 2 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 w:rsidRPr="002017F3"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 w:rsidRPr="002017F3">
        <w:rPr>
          <w:sz w:val="26"/>
          <w:szCs w:val="26"/>
          <w:lang w:eastAsia="ru-RU"/>
        </w:rPr>
        <w:t xml:space="preserve"> </w:t>
      </w:r>
      <w:r w:rsidRPr="002017F3">
        <w:rPr>
          <w:sz w:val="26"/>
          <w:szCs w:val="26"/>
        </w:rPr>
        <w:t xml:space="preserve">Пограничного муниципального </w:t>
      </w:r>
      <w:r w:rsidR="0039224F">
        <w:rPr>
          <w:sz w:val="26"/>
          <w:szCs w:val="26"/>
        </w:rPr>
        <w:t>округа</w:t>
      </w:r>
      <w:r w:rsidRPr="002017F3">
        <w:rPr>
          <w:sz w:val="26"/>
          <w:szCs w:val="26"/>
        </w:rPr>
        <w:t>», с</w:t>
      </w:r>
      <w:r w:rsidRPr="002017F3">
        <w:rPr>
          <w:sz w:val="26"/>
          <w:szCs w:val="26"/>
          <w:lang w:eastAsia="ru-RU"/>
        </w:rPr>
        <w:t>окращенное наименование МБОУ «ПСОШ № 2 ПМ</w:t>
      </w:r>
      <w:r w:rsidR="0039224F">
        <w:rPr>
          <w:sz w:val="26"/>
          <w:szCs w:val="26"/>
          <w:lang w:eastAsia="ru-RU"/>
        </w:rPr>
        <w:t>О</w:t>
      </w:r>
      <w:r w:rsidRPr="002017F3">
        <w:rPr>
          <w:sz w:val="26"/>
          <w:szCs w:val="26"/>
          <w:lang w:eastAsia="ru-RU"/>
        </w:rPr>
        <w:t xml:space="preserve">», </w:t>
      </w:r>
      <w:r w:rsidRPr="002017F3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2017F3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017F3">
        <w:rPr>
          <w:rFonts w:ascii="Times New Roman" w:hAnsi="Times New Roman"/>
          <w:sz w:val="26"/>
          <w:szCs w:val="26"/>
        </w:rPr>
        <w:t>, ул.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Пограничная, 6а.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ИНН 2525003742, ОГРН 1152511000355</w:t>
      </w:r>
      <w:r w:rsidR="0039224F">
        <w:rPr>
          <w:sz w:val="26"/>
          <w:szCs w:val="26"/>
        </w:rPr>
        <w:t>,</w:t>
      </w:r>
      <w:r w:rsidR="0039224F" w:rsidRPr="0039224F">
        <w:rPr>
          <w:sz w:val="26"/>
          <w:szCs w:val="26"/>
        </w:rPr>
        <w:t xml:space="preserve"> </w:t>
      </w:r>
      <w:r w:rsidR="0039224F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39224F" w:rsidRPr="00753ED5">
        <w:rPr>
          <w:sz w:val="26"/>
          <w:szCs w:val="26"/>
          <w:shd w:val="clear" w:color="auto" w:fill="FFFFFF"/>
        </w:rPr>
        <w:t xml:space="preserve"> </w:t>
      </w:r>
      <w:r w:rsidR="0039224F" w:rsidRPr="00CD0766">
        <w:rPr>
          <w:sz w:val="26"/>
          <w:szCs w:val="26"/>
          <w:shd w:val="clear" w:color="auto" w:fill="FFFFFF"/>
        </w:rPr>
        <w:t>053Ь80</w:t>
      </w:r>
      <w:r w:rsidR="0039224F">
        <w:rPr>
          <w:sz w:val="26"/>
          <w:szCs w:val="26"/>
          <w:shd w:val="clear" w:color="auto" w:fill="FFFFFF"/>
        </w:rPr>
        <w:t>19</w:t>
      </w:r>
      <w:r w:rsidRPr="002017F3">
        <w:rPr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39224F">
        <w:rPr>
          <w:rFonts w:ascii="Times New Roman" w:hAnsi="Times New Roman"/>
          <w:sz w:val="26"/>
          <w:szCs w:val="26"/>
        </w:rPr>
        <w:t>А</w:t>
      </w:r>
      <w:r w:rsidRPr="002017F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39224F">
        <w:rPr>
          <w:rFonts w:ascii="Times New Roman" w:hAnsi="Times New Roman"/>
          <w:sz w:val="26"/>
          <w:szCs w:val="26"/>
        </w:rPr>
        <w:lastRenderedPageBreak/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EB7894">
        <w:rPr>
          <w:rFonts w:ascii="Times New Roman" w:hAnsi="Times New Roman"/>
          <w:sz w:val="26"/>
          <w:szCs w:val="26"/>
        </w:rPr>
        <w:t>ые</w:t>
      </w:r>
      <w:r w:rsidRPr="002017F3">
        <w:rPr>
          <w:rFonts w:ascii="Times New Roman" w:hAnsi="Times New Roman"/>
          <w:sz w:val="26"/>
          <w:szCs w:val="26"/>
        </w:rPr>
        <w:t xml:space="preserve"> счет</w:t>
      </w:r>
      <w:r w:rsidR="00EB7894">
        <w:rPr>
          <w:rFonts w:ascii="Times New Roman" w:hAnsi="Times New Roman"/>
          <w:sz w:val="26"/>
          <w:szCs w:val="26"/>
        </w:rPr>
        <w:t>а (20206Ь80190, 21206Ь80190), открытые</w:t>
      </w:r>
      <w:r w:rsidRPr="002017F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1C752F" w:rsidRPr="002017F3" w:rsidRDefault="00EB7894" w:rsidP="00EB789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Жалнина Ирина Анатольевна</w:t>
      </w:r>
      <w:r w:rsidR="001C752F" w:rsidRPr="002017F3">
        <w:rPr>
          <w:rFonts w:ascii="Times New Roman" w:hAnsi="Times New Roman"/>
          <w:sz w:val="26"/>
          <w:szCs w:val="26"/>
        </w:rPr>
        <w:t xml:space="preserve"> – директор </w:t>
      </w:r>
      <w:r>
        <w:rPr>
          <w:rFonts w:ascii="Times New Roman" w:hAnsi="Times New Roman"/>
          <w:sz w:val="26"/>
          <w:szCs w:val="26"/>
          <w:lang w:eastAsia="ru-RU"/>
        </w:rPr>
        <w:t>МБОУ «ПСОШ № 2 ПМО</w:t>
      </w:r>
      <w:r w:rsidR="001C752F"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1C752F" w:rsidRPr="002017F3">
        <w:rPr>
          <w:rFonts w:ascii="Times New Roman" w:hAnsi="Times New Roman"/>
          <w:sz w:val="26"/>
          <w:szCs w:val="26"/>
        </w:rPr>
        <w:t>, принята на должность рас</w:t>
      </w:r>
      <w:r>
        <w:rPr>
          <w:rFonts w:ascii="Times New Roman" w:hAnsi="Times New Roman"/>
          <w:sz w:val="26"/>
          <w:szCs w:val="26"/>
        </w:rPr>
        <w:t xml:space="preserve">поряжением </w:t>
      </w:r>
      <w:r w:rsidR="0000235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лавы А</w:t>
      </w:r>
      <w:r w:rsidR="001C752F" w:rsidRPr="002017F3">
        <w:rPr>
          <w:rFonts w:ascii="Times New Roman" w:hAnsi="Times New Roman"/>
          <w:sz w:val="26"/>
          <w:szCs w:val="26"/>
        </w:rPr>
        <w:t>дминистрации По</w:t>
      </w:r>
      <w:r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1C752F" w:rsidRPr="002017F3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7F3">
        <w:rPr>
          <w:rFonts w:ascii="Times New Roman" w:hAnsi="Times New Roman"/>
          <w:sz w:val="26"/>
          <w:szCs w:val="26"/>
        </w:rPr>
        <w:t xml:space="preserve">Воронова Татьяна Владимировна – </w:t>
      </w:r>
      <w:r w:rsidR="00EB7894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017F3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  <w:lang w:eastAsia="ru-RU"/>
        </w:rPr>
        <w:t>МБОУ «ПСОШ № 2 ПМ</w:t>
      </w:r>
      <w:r w:rsidR="00EB7894">
        <w:rPr>
          <w:rFonts w:ascii="Times New Roman" w:hAnsi="Times New Roman"/>
          <w:sz w:val="26"/>
          <w:szCs w:val="26"/>
          <w:lang w:eastAsia="ru-RU"/>
        </w:rPr>
        <w:t>О</w:t>
      </w:r>
      <w:r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DF6A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7C2C17">
        <w:rPr>
          <w:rFonts w:ascii="Times New Roman" w:hAnsi="Times New Roman"/>
          <w:sz w:val="26"/>
          <w:szCs w:val="26"/>
          <w:u w:val="single"/>
          <w:lang w:eastAsia="ru-RU"/>
        </w:rPr>
        <w:t>22098,96</w:t>
      </w:r>
      <w:r w:rsidRPr="002017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 xml:space="preserve"> тыс.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руб.</w:t>
      </w:r>
    </w:p>
    <w:p w:rsidR="007C2C17" w:rsidRPr="00A2603C" w:rsidRDefault="007C2C17" w:rsidP="007C2C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7C2C17" w:rsidRPr="00A2603C" w:rsidRDefault="007C2C17" w:rsidP="007C2C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7C2C17" w:rsidRPr="00A2603C" w:rsidRDefault="007C2C17" w:rsidP="007C2C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7C2C17" w:rsidRDefault="007C2C17" w:rsidP="007C2C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вид деятельности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 xml:space="preserve"> </w:t>
      </w:r>
      <w:r w:rsidRPr="007C2C17">
        <w:rPr>
          <w:rFonts w:eastAsia="Lucida Sans Unicode"/>
          <w:kern w:val="1"/>
          <w:sz w:val="26"/>
          <w:szCs w:val="26"/>
          <w:lang w:eastAsia="ru-RU"/>
        </w:rPr>
        <w:t>соответствует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7C2C17" w:rsidRDefault="007C2C17" w:rsidP="007C2C17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7C2C17" w:rsidRPr="001C2DCA" w:rsidRDefault="007C2C17" w:rsidP="007C2C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7C2C17" w:rsidRDefault="007C2C17" w:rsidP="007C2C1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7C2C17" w:rsidRPr="001C2DCA" w:rsidRDefault="007C2C17" w:rsidP="007C2C17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7C2C17" w:rsidRPr="001C2DCA" w:rsidRDefault="007C2C17" w:rsidP="007C2C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7C2C17" w:rsidRPr="001C2DCA" w:rsidRDefault="007C2C17" w:rsidP="007C2C17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7C2C17" w:rsidRDefault="007C2C17" w:rsidP="007C2C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7C2C17" w:rsidRDefault="007C2C17" w:rsidP="007C2C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7C2C17" w:rsidTr="00ED79DA">
        <w:tc>
          <w:tcPr>
            <w:tcW w:w="3544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7C2C17" w:rsidRPr="007A718D" w:rsidRDefault="009E723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7C2C17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7C2C17" w:rsidTr="00ED79DA">
        <w:tc>
          <w:tcPr>
            <w:tcW w:w="3544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0</w:t>
            </w:r>
            <w:r w:rsidR="00383C2E">
              <w:rPr>
                <w:rStyle w:val="a9"/>
                <w:color w:val="auto"/>
                <w:sz w:val="26"/>
                <w:szCs w:val="26"/>
                <w:u w:val="none"/>
              </w:rPr>
              <w:t>6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.04.2022 г.)</w:t>
            </w:r>
          </w:p>
        </w:tc>
        <w:tc>
          <w:tcPr>
            <w:tcW w:w="3119" w:type="dxa"/>
            <w:vAlign w:val="center"/>
          </w:tcPr>
          <w:p w:rsidR="007C2C17" w:rsidRPr="001B5360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5044">
              <w:rPr>
                <w:rStyle w:val="a9"/>
                <w:color w:val="auto"/>
                <w:sz w:val="26"/>
                <w:szCs w:val="26"/>
                <w:u w:val="none"/>
              </w:rPr>
              <w:t>1</w:t>
            </w:r>
            <w:r>
              <w:rPr>
                <w:rStyle w:val="a9"/>
                <w:color w:val="auto"/>
                <w:sz w:val="26"/>
                <w:szCs w:val="26"/>
                <w:u w:val="none"/>
              </w:rPr>
              <w:t>2.04.2022 г.</w:t>
            </w:r>
          </w:p>
        </w:tc>
        <w:tc>
          <w:tcPr>
            <w:tcW w:w="3119" w:type="dxa"/>
            <w:vAlign w:val="center"/>
          </w:tcPr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83C2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.04.2022 г.</w:t>
            </w:r>
          </w:p>
        </w:tc>
      </w:tr>
      <w:tr w:rsidR="007C2C17" w:rsidTr="00ED79DA">
        <w:tc>
          <w:tcPr>
            <w:tcW w:w="3544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</w:t>
            </w:r>
            <w:r w:rsidR="00383C2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.07.2022 г.)</w:t>
            </w:r>
          </w:p>
        </w:tc>
        <w:tc>
          <w:tcPr>
            <w:tcW w:w="3119" w:type="dxa"/>
            <w:vAlign w:val="center"/>
          </w:tcPr>
          <w:p w:rsidR="007C2C17" w:rsidRDefault="00383C2E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7C2C17">
              <w:rPr>
                <w:color w:val="000000"/>
                <w:sz w:val="26"/>
                <w:szCs w:val="26"/>
              </w:rPr>
              <w:t>.07.2022 г.</w:t>
            </w:r>
          </w:p>
        </w:tc>
        <w:tc>
          <w:tcPr>
            <w:tcW w:w="3119" w:type="dxa"/>
            <w:vAlign w:val="center"/>
          </w:tcPr>
          <w:p w:rsidR="007C2C17" w:rsidRDefault="00383C2E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7C2C17">
              <w:rPr>
                <w:color w:val="000000"/>
                <w:sz w:val="26"/>
                <w:szCs w:val="26"/>
              </w:rPr>
              <w:t>.07.2022 г.</w:t>
            </w:r>
          </w:p>
        </w:tc>
      </w:tr>
      <w:tr w:rsidR="007C2C17" w:rsidTr="00ED79DA">
        <w:tc>
          <w:tcPr>
            <w:tcW w:w="3544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383C2E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.</w:t>
            </w:r>
            <w:r w:rsidR="00383C2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0.2022 г.)</w:t>
            </w:r>
          </w:p>
        </w:tc>
        <w:tc>
          <w:tcPr>
            <w:tcW w:w="3119" w:type="dxa"/>
            <w:vAlign w:val="center"/>
          </w:tcPr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83C2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.10.2022 г.</w:t>
            </w:r>
          </w:p>
        </w:tc>
        <w:tc>
          <w:tcPr>
            <w:tcW w:w="3119" w:type="dxa"/>
            <w:vAlign w:val="center"/>
          </w:tcPr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83C2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.10.2022 г.</w:t>
            </w:r>
          </w:p>
        </w:tc>
      </w:tr>
      <w:tr w:rsidR="007C2C17" w:rsidTr="00ED79DA">
        <w:tc>
          <w:tcPr>
            <w:tcW w:w="3544" w:type="dxa"/>
          </w:tcPr>
          <w:p w:rsidR="007C2C17" w:rsidRDefault="007C2C17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7C2C17" w:rsidRDefault="007C2C17" w:rsidP="00383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(дата отчета: </w:t>
            </w:r>
            <w:r w:rsidR="00383C2E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.01.2023 г.)</w:t>
            </w:r>
          </w:p>
        </w:tc>
        <w:tc>
          <w:tcPr>
            <w:tcW w:w="3119" w:type="dxa"/>
            <w:vAlign w:val="center"/>
          </w:tcPr>
          <w:p w:rsidR="007C2C17" w:rsidRDefault="00383C2E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C2C17">
              <w:rPr>
                <w:color w:val="000000"/>
                <w:sz w:val="26"/>
                <w:szCs w:val="26"/>
              </w:rPr>
              <w:t>3.01.2023 г.</w:t>
            </w:r>
          </w:p>
        </w:tc>
        <w:tc>
          <w:tcPr>
            <w:tcW w:w="3119" w:type="dxa"/>
            <w:vAlign w:val="center"/>
          </w:tcPr>
          <w:p w:rsidR="007C2C17" w:rsidRDefault="00383C2E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7C2C17">
              <w:rPr>
                <w:color w:val="000000"/>
                <w:sz w:val="26"/>
                <w:szCs w:val="26"/>
              </w:rPr>
              <w:t>.01.2023 г.</w:t>
            </w:r>
          </w:p>
        </w:tc>
      </w:tr>
    </w:tbl>
    <w:p w:rsidR="007C2C17" w:rsidRDefault="007C2C17" w:rsidP="007C2C17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C2C17" w:rsidRDefault="007C2C17" w:rsidP="007C2C17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 ранее приведенных данных видно, что отчет</w:t>
      </w:r>
      <w:r w:rsidR="00383C2E"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 xml:space="preserve"> размещен</w:t>
      </w:r>
      <w:r w:rsidR="00383C2E"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 xml:space="preserve"> в сети Интернет </w:t>
      </w:r>
      <w:r w:rsidR="00383C2E">
        <w:rPr>
          <w:rFonts w:eastAsia="Calibri"/>
          <w:sz w:val="26"/>
          <w:szCs w:val="26"/>
        </w:rPr>
        <w:t>в сроки соответствующие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</w:t>
      </w:r>
      <w:r w:rsidR="00383C2E">
        <w:rPr>
          <w:rFonts w:eastAsia="Calibri"/>
          <w:sz w:val="26"/>
          <w:szCs w:val="26"/>
        </w:rPr>
        <w:t>у</w:t>
      </w:r>
      <w:r w:rsidRPr="00AC257B">
        <w:rPr>
          <w:rFonts w:eastAsia="Calibri"/>
          <w:sz w:val="26"/>
          <w:szCs w:val="26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383C2E">
        <w:rPr>
          <w:rFonts w:eastAsia="Calibri"/>
          <w:sz w:val="26"/>
          <w:szCs w:val="26"/>
        </w:rPr>
        <w:t xml:space="preserve"> и Постановлению 739</w:t>
      </w:r>
      <w:r>
        <w:rPr>
          <w:rFonts w:eastAsia="Calibri"/>
          <w:sz w:val="26"/>
          <w:szCs w:val="26"/>
        </w:rPr>
        <w:t>.</w:t>
      </w:r>
    </w:p>
    <w:p w:rsidR="007C2C17" w:rsidRDefault="007C2C17" w:rsidP="007C2C17">
      <w:pPr>
        <w:ind w:firstLine="709"/>
        <w:jc w:val="both"/>
        <w:rPr>
          <w:sz w:val="26"/>
          <w:szCs w:val="26"/>
        </w:rPr>
      </w:pPr>
    </w:p>
    <w:p w:rsidR="0000235B" w:rsidRDefault="0000235B" w:rsidP="0000235B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00235B" w:rsidRPr="001C2DCA" w:rsidRDefault="0000235B" w:rsidP="0000235B">
      <w:pPr>
        <w:ind w:firstLine="709"/>
        <w:jc w:val="both"/>
        <w:rPr>
          <w:b/>
          <w:sz w:val="26"/>
          <w:szCs w:val="26"/>
        </w:rPr>
      </w:pP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 xml:space="preserve">уникальный номер реестровой записи из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го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я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(802112О.99.0.ББ11АГ00000), которому соответствует один показатель</w:t>
      </w:r>
      <w:r>
        <w:rPr>
          <w:sz w:val="26"/>
          <w:szCs w:val="26"/>
        </w:rPr>
        <w:t>, характеризующий</w:t>
      </w:r>
      <w:r w:rsidRPr="001C2DCA">
        <w:rPr>
          <w:sz w:val="26"/>
          <w:szCs w:val="26"/>
        </w:rPr>
        <w:t xml:space="preserve"> объем оказываемой муниципальной услуги</w:t>
      </w:r>
      <w:r>
        <w:rPr>
          <w:sz w:val="26"/>
          <w:szCs w:val="26"/>
        </w:rPr>
        <w:t>. З</w:t>
      </w:r>
      <w:r w:rsidRPr="001C2DCA">
        <w:rPr>
          <w:sz w:val="26"/>
          <w:szCs w:val="26"/>
        </w:rPr>
        <w:t>начени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м явля</w:t>
      </w:r>
      <w:r>
        <w:rPr>
          <w:sz w:val="26"/>
          <w:szCs w:val="26"/>
        </w:rPr>
        <w:t>е</w:t>
      </w:r>
      <w:r w:rsidRPr="001C2DCA">
        <w:rPr>
          <w:sz w:val="26"/>
          <w:szCs w:val="26"/>
        </w:rPr>
        <w:t>тся числ</w:t>
      </w:r>
      <w:r>
        <w:rPr>
          <w:sz w:val="26"/>
          <w:szCs w:val="26"/>
        </w:rPr>
        <w:t>о</w:t>
      </w:r>
      <w:r w:rsidRPr="001C2DC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 xml:space="preserve">Данные в показателе, характеризующем содержание муниципальной услуги, как и показателе, характеризующем условия (формы) оказания муниципальной услуги </w:t>
      </w:r>
      <w:r w:rsidRPr="00173FD9">
        <w:rPr>
          <w:b/>
          <w:sz w:val="26"/>
          <w:szCs w:val="26"/>
        </w:rPr>
        <w:t>не соответствуют</w:t>
      </w:r>
      <w:r>
        <w:rPr>
          <w:sz w:val="26"/>
          <w:szCs w:val="26"/>
        </w:rPr>
        <w:t xml:space="preserve">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базово</w:t>
      </w:r>
      <w:r>
        <w:rPr>
          <w:rFonts w:eastAsia="Lucida Sans Unicode"/>
          <w:kern w:val="1"/>
          <w:sz w:val="26"/>
          <w:szCs w:val="26"/>
          <w:lang w:eastAsia="ru-RU"/>
        </w:rPr>
        <w:t>му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перечн</w:t>
      </w:r>
      <w:r>
        <w:rPr>
          <w:rFonts w:eastAsia="Lucida Sans Unicode"/>
          <w:kern w:val="1"/>
          <w:sz w:val="26"/>
          <w:szCs w:val="26"/>
          <w:lang w:eastAsia="ru-RU"/>
        </w:rPr>
        <w:t>ю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государственных и муниципальных услуг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Финансовое обеспечение учреждения в динамике представлено в таблице:</w:t>
      </w: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ED4CCB" w:rsidRDefault="00ED4CCB" w:rsidP="00ED4CCB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lastRenderedPageBreak/>
        <w:t>руб.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93"/>
        <w:gridCol w:w="1893"/>
        <w:gridCol w:w="2592"/>
        <w:gridCol w:w="1985"/>
      </w:tblGrid>
      <w:tr w:rsidR="00ED4CCB" w:rsidRPr="00DA5C5A" w:rsidTr="00ED79DA">
        <w:tc>
          <w:tcPr>
            <w:tcW w:w="1101" w:type="dxa"/>
            <w:vAlign w:val="center"/>
          </w:tcPr>
          <w:p w:rsidR="00ED4CCB" w:rsidRPr="00C90C16" w:rsidRDefault="00ED4CCB" w:rsidP="00ED79D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893" w:type="dxa"/>
            <w:vAlign w:val="center"/>
          </w:tcPr>
          <w:p w:rsidR="00ED4CCB" w:rsidRPr="00C90C16" w:rsidRDefault="00ED4CCB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план</w:t>
            </w:r>
          </w:p>
        </w:tc>
        <w:tc>
          <w:tcPr>
            <w:tcW w:w="1893" w:type="dxa"/>
            <w:vAlign w:val="center"/>
          </w:tcPr>
          <w:p w:rsidR="00ED4CCB" w:rsidRPr="00C90C16" w:rsidRDefault="00ED4CCB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C90C16">
              <w:rPr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C90C16">
              <w:rPr>
                <w:bCs/>
                <w:color w:val="000000"/>
                <w:sz w:val="26"/>
                <w:szCs w:val="26"/>
              </w:rPr>
              <w:t xml:space="preserve"> факт</w:t>
            </w:r>
          </w:p>
        </w:tc>
        <w:tc>
          <w:tcPr>
            <w:tcW w:w="2592" w:type="dxa"/>
            <w:vAlign w:val="center"/>
          </w:tcPr>
          <w:p w:rsidR="00ED4CCB" w:rsidRPr="00C90C16" w:rsidRDefault="00ED4CCB" w:rsidP="00ED79D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Средний размер платы за 1</w:t>
            </w:r>
          </w:p>
          <w:p w:rsidR="00ED4CCB" w:rsidRPr="00C90C16" w:rsidRDefault="00ED4CCB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воспитанника</w:t>
            </w:r>
          </w:p>
        </w:tc>
        <w:tc>
          <w:tcPr>
            <w:tcW w:w="1985" w:type="dxa"/>
            <w:vAlign w:val="center"/>
          </w:tcPr>
          <w:p w:rsidR="00ED4CCB" w:rsidRPr="00C90C16" w:rsidRDefault="00ED4CCB" w:rsidP="00ED79DA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C90C16">
              <w:rPr>
                <w:bCs/>
                <w:color w:val="000000"/>
                <w:sz w:val="26"/>
                <w:szCs w:val="26"/>
              </w:rPr>
              <w:t>Субсидия на выполнение МЗ</w:t>
            </w:r>
          </w:p>
        </w:tc>
      </w:tr>
      <w:tr w:rsidR="00657F91" w:rsidRPr="0011725D" w:rsidTr="00ED79DA">
        <w:tc>
          <w:tcPr>
            <w:tcW w:w="1101" w:type="dxa"/>
          </w:tcPr>
          <w:p w:rsidR="00657F91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93" w:type="dxa"/>
          </w:tcPr>
          <w:p w:rsidR="00657F91" w:rsidRDefault="00657F91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893" w:type="dxa"/>
          </w:tcPr>
          <w:p w:rsidR="00657F91" w:rsidRDefault="00657F91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2592" w:type="dxa"/>
          </w:tcPr>
          <w:p w:rsidR="00657F91" w:rsidRDefault="00657F91" w:rsidP="00657F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64 633,64</w:t>
            </w:r>
          </w:p>
        </w:tc>
        <w:tc>
          <w:tcPr>
            <w:tcW w:w="1985" w:type="dxa"/>
            <w:vAlign w:val="bottom"/>
          </w:tcPr>
          <w:p w:rsidR="00657F91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17 709 618,38</w:t>
            </w:r>
          </w:p>
        </w:tc>
      </w:tr>
      <w:tr w:rsidR="00657F91" w:rsidRPr="0011725D" w:rsidTr="00ED79DA">
        <w:tc>
          <w:tcPr>
            <w:tcW w:w="1101" w:type="dxa"/>
          </w:tcPr>
          <w:p w:rsidR="00657F91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893" w:type="dxa"/>
          </w:tcPr>
          <w:p w:rsidR="00657F91" w:rsidRDefault="00657F91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1893" w:type="dxa"/>
          </w:tcPr>
          <w:p w:rsidR="00657F91" w:rsidRDefault="00657F91" w:rsidP="00ED79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2592" w:type="dxa"/>
          </w:tcPr>
          <w:p w:rsidR="00657F91" w:rsidRDefault="00657F91" w:rsidP="00657F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65 650,70</w:t>
            </w:r>
          </w:p>
        </w:tc>
        <w:tc>
          <w:tcPr>
            <w:tcW w:w="1985" w:type="dxa"/>
            <w:vAlign w:val="bottom"/>
          </w:tcPr>
          <w:p w:rsidR="00657F91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17 725 690,02</w:t>
            </w:r>
          </w:p>
        </w:tc>
      </w:tr>
      <w:tr w:rsidR="00ED4CCB" w:rsidRPr="0011725D" w:rsidTr="00ED79DA">
        <w:tc>
          <w:tcPr>
            <w:tcW w:w="1101" w:type="dxa"/>
          </w:tcPr>
          <w:p w:rsidR="00ED4CCB" w:rsidRPr="00C90C16" w:rsidRDefault="00ED4CCB" w:rsidP="00ED79DA">
            <w:pPr>
              <w:jc w:val="center"/>
              <w:rPr>
                <w:color w:val="000000"/>
                <w:sz w:val="26"/>
                <w:szCs w:val="26"/>
              </w:rPr>
            </w:pPr>
            <w:r w:rsidRPr="00C90C16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893" w:type="dxa"/>
            <w:vAlign w:val="bottom"/>
          </w:tcPr>
          <w:p w:rsidR="00ED4CCB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893" w:type="dxa"/>
            <w:vAlign w:val="bottom"/>
          </w:tcPr>
          <w:p w:rsidR="00ED4CCB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2592" w:type="dxa"/>
            <w:vAlign w:val="bottom"/>
          </w:tcPr>
          <w:p w:rsidR="00ED4CCB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82 152,27</w:t>
            </w:r>
          </w:p>
        </w:tc>
        <w:tc>
          <w:tcPr>
            <w:tcW w:w="1985" w:type="dxa"/>
            <w:vAlign w:val="bottom"/>
          </w:tcPr>
          <w:p w:rsidR="00ED4CCB" w:rsidRPr="00C90C16" w:rsidRDefault="00657F91" w:rsidP="00ED79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22 098 959,86</w:t>
            </w:r>
          </w:p>
        </w:tc>
      </w:tr>
    </w:tbl>
    <w:p w:rsidR="00657F91" w:rsidRDefault="00657F91" w:rsidP="00C1750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750A" w:rsidRDefault="00C1750A" w:rsidP="00657F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20</w:t>
      </w:r>
      <w:r w:rsidR="006F2AE0">
        <w:rPr>
          <w:sz w:val="26"/>
          <w:szCs w:val="26"/>
          <w:lang w:eastAsia="ru-RU"/>
        </w:rPr>
        <w:t>2</w:t>
      </w:r>
      <w:r w:rsidR="00657F91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657F91">
        <w:rPr>
          <w:sz w:val="26"/>
          <w:szCs w:val="26"/>
          <w:lang w:eastAsia="ru-RU"/>
        </w:rPr>
        <w:t>16</w:t>
      </w:r>
      <w:r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2</w:t>
      </w:r>
      <w:r w:rsidR="00657F91">
        <w:rPr>
          <w:sz w:val="26"/>
          <w:szCs w:val="26"/>
          <w:lang w:eastAsia="ru-RU"/>
        </w:rPr>
        <w:t>69</w:t>
      </w:r>
      <w:r>
        <w:rPr>
          <w:sz w:val="26"/>
          <w:szCs w:val="26"/>
          <w:lang w:eastAsia="ru-RU"/>
        </w:rPr>
        <w:t xml:space="preserve"> </w:t>
      </w:r>
      <w:r w:rsidR="0000235B">
        <w:rPr>
          <w:sz w:val="26"/>
          <w:szCs w:val="26"/>
          <w:lang w:eastAsia="ru-RU"/>
        </w:rPr>
        <w:t>детей</w:t>
      </w:r>
      <w:r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00235B">
        <w:rPr>
          <w:sz w:val="26"/>
          <w:szCs w:val="26"/>
          <w:lang w:eastAsia="ru-RU"/>
        </w:rPr>
        <w:t>2</w:t>
      </w:r>
      <w:r w:rsidR="00657F91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году </w:t>
      </w:r>
      <w:r w:rsidR="006F2AE0">
        <w:rPr>
          <w:sz w:val="26"/>
          <w:szCs w:val="26"/>
          <w:lang w:eastAsia="ru-RU"/>
        </w:rPr>
        <w:t>уменьшилось</w:t>
      </w:r>
      <w:r>
        <w:rPr>
          <w:sz w:val="26"/>
          <w:szCs w:val="26"/>
          <w:lang w:eastAsia="ru-RU"/>
        </w:rPr>
        <w:t xml:space="preserve"> </w:t>
      </w:r>
      <w:r w:rsidR="0000235B">
        <w:rPr>
          <w:sz w:val="26"/>
          <w:szCs w:val="26"/>
          <w:lang w:eastAsia="ru-RU"/>
        </w:rPr>
        <w:t xml:space="preserve">на </w:t>
      </w:r>
      <w:r w:rsidR="00657F91">
        <w:rPr>
          <w:sz w:val="26"/>
          <w:szCs w:val="26"/>
          <w:lang w:eastAsia="ru-RU"/>
        </w:rPr>
        <w:t>1</w:t>
      </w:r>
      <w:r w:rsidR="006F2AE0">
        <w:rPr>
          <w:sz w:val="26"/>
          <w:szCs w:val="26"/>
          <w:lang w:eastAsia="ru-RU"/>
        </w:rPr>
        <w:t xml:space="preserve"> единиц</w:t>
      </w:r>
      <w:r w:rsidR="00657F91">
        <w:rPr>
          <w:sz w:val="26"/>
          <w:szCs w:val="26"/>
          <w:lang w:eastAsia="ru-RU"/>
        </w:rPr>
        <w:t>у</w:t>
      </w:r>
      <w:r w:rsidR="006F2AE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относительно аналогичного периода прошлого года, средний размер платы на содержание одного воспитанника в 20</w:t>
      </w:r>
      <w:r w:rsidR="006F2AE0">
        <w:rPr>
          <w:sz w:val="26"/>
          <w:szCs w:val="26"/>
          <w:lang w:eastAsia="ru-RU"/>
        </w:rPr>
        <w:t>2</w:t>
      </w:r>
      <w:r w:rsidR="00657F91">
        <w:rPr>
          <w:sz w:val="26"/>
          <w:szCs w:val="26"/>
          <w:lang w:eastAsia="ru-RU"/>
        </w:rPr>
        <w:t>2</w:t>
      </w:r>
      <w:r w:rsidR="006F2AE0">
        <w:rPr>
          <w:sz w:val="26"/>
          <w:szCs w:val="26"/>
          <w:lang w:eastAsia="ru-RU"/>
        </w:rPr>
        <w:t xml:space="preserve"> году</w:t>
      </w:r>
      <w:r>
        <w:rPr>
          <w:sz w:val="26"/>
          <w:szCs w:val="26"/>
          <w:lang w:eastAsia="ru-RU"/>
        </w:rPr>
        <w:t xml:space="preserve"> увеличился на </w:t>
      </w:r>
      <w:r w:rsidR="00657F91">
        <w:rPr>
          <w:sz w:val="26"/>
          <w:szCs w:val="26"/>
          <w:lang w:eastAsia="ru-RU"/>
        </w:rPr>
        <w:t xml:space="preserve">16 501,57 </w:t>
      </w:r>
      <w:r>
        <w:rPr>
          <w:sz w:val="26"/>
          <w:szCs w:val="26"/>
          <w:lang w:eastAsia="ru-RU"/>
        </w:rPr>
        <w:t>руб</w:t>
      </w:r>
      <w:r w:rsidR="00657F91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или на </w:t>
      </w:r>
      <w:r w:rsidR="00657F91">
        <w:rPr>
          <w:sz w:val="26"/>
          <w:szCs w:val="26"/>
          <w:lang w:eastAsia="ru-RU"/>
        </w:rPr>
        <w:t>25,1</w:t>
      </w:r>
      <w:r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657F91">
        <w:rPr>
          <w:sz w:val="26"/>
          <w:szCs w:val="26"/>
          <w:lang w:eastAsia="ru-RU"/>
        </w:rPr>
        <w:t>82 152,27</w:t>
      </w:r>
      <w:r w:rsidR="006F2AE0">
        <w:rPr>
          <w:sz w:val="26"/>
          <w:szCs w:val="26"/>
          <w:lang w:eastAsia="ru-RU"/>
        </w:rPr>
        <w:t xml:space="preserve"> руб</w:t>
      </w:r>
      <w:r>
        <w:rPr>
          <w:sz w:val="26"/>
          <w:szCs w:val="26"/>
          <w:lang w:eastAsia="ru-RU"/>
        </w:rPr>
        <w:t xml:space="preserve">. </w:t>
      </w:r>
    </w:p>
    <w:p w:rsidR="00657F91" w:rsidRDefault="00657F91" w:rsidP="00657F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657F91" w:rsidRDefault="00657F91" w:rsidP="00657F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06371">
        <w:rPr>
          <w:sz w:val="26"/>
          <w:szCs w:val="26"/>
          <w:lang w:eastAsia="ru-RU"/>
        </w:rPr>
        <w:t xml:space="preserve">Проанализировав ф. 0503737 </w:t>
      </w:r>
      <w:bookmarkStart w:id="0" w:name="_GoBack"/>
      <w:bookmarkEnd w:id="0"/>
      <w:r w:rsidRPr="00B033C5">
        <w:rPr>
          <w:sz w:val="26"/>
          <w:szCs w:val="26"/>
          <w:lang w:eastAsia="ru-RU"/>
        </w:rPr>
        <w:t xml:space="preserve">за 2021 и 2022 годы установлено увеличение расходов на </w:t>
      </w:r>
      <w:r w:rsidR="00B033C5" w:rsidRPr="00B033C5">
        <w:rPr>
          <w:sz w:val="26"/>
          <w:szCs w:val="26"/>
          <w:lang w:eastAsia="ru-RU"/>
        </w:rPr>
        <w:t>4 373,26</w:t>
      </w:r>
      <w:r w:rsidRPr="00B033C5">
        <w:rPr>
          <w:sz w:val="26"/>
          <w:szCs w:val="26"/>
          <w:lang w:eastAsia="ru-RU"/>
        </w:rPr>
        <w:t xml:space="preserve"> тыс. руб</w:t>
      </w:r>
      <w:r w:rsidRPr="005363A6">
        <w:rPr>
          <w:sz w:val="26"/>
          <w:szCs w:val="26"/>
          <w:lang w:eastAsia="ru-RU"/>
        </w:rPr>
        <w:t>., а именно:</w:t>
      </w:r>
    </w:p>
    <w:p w:rsidR="00A86447" w:rsidRDefault="00810E42" w:rsidP="00810E42">
      <w:pPr>
        <w:widowControl w:val="0"/>
        <w:tabs>
          <w:tab w:val="left" w:pos="450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418"/>
        <w:gridCol w:w="1406"/>
        <w:gridCol w:w="1614"/>
        <w:gridCol w:w="1516"/>
      </w:tblGrid>
      <w:tr w:rsidR="00A86447" w:rsidRPr="00A86447" w:rsidTr="00A86447">
        <w:trPr>
          <w:trHeight w:val="61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86447"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86447">
              <w:rPr>
                <w:sz w:val="26"/>
                <w:szCs w:val="26"/>
                <w:lang w:eastAsia="ru-RU"/>
              </w:rPr>
              <w:t>Код аналитики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86447">
              <w:rPr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86447">
              <w:rPr>
                <w:sz w:val="26"/>
                <w:szCs w:val="26"/>
                <w:lang w:eastAsia="ru-RU"/>
              </w:rPr>
              <w:t>Сумма отклонения изменения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Default="00A86447" w:rsidP="00A8644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86447">
              <w:rPr>
                <w:sz w:val="26"/>
                <w:szCs w:val="26"/>
                <w:lang w:eastAsia="ru-RU"/>
              </w:rPr>
              <w:t xml:space="preserve"> (+/-), </w:t>
            </w:r>
          </w:p>
          <w:p w:rsidR="00A86447" w:rsidRPr="00A86447" w:rsidRDefault="00A86447" w:rsidP="00A8644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86447">
              <w:rPr>
                <w:sz w:val="26"/>
                <w:szCs w:val="26"/>
                <w:lang w:eastAsia="ru-RU"/>
              </w:rPr>
              <w:t>тыс. руб.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A86447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17 725,69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22 098,95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4 373,26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Расходы на выплату персоналу,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15 739,69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19 117,42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3 377,73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12 133,61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14 699,34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2 565,73</w:t>
            </w:r>
          </w:p>
        </w:tc>
      </w:tr>
      <w:tr w:rsidR="00A86447" w:rsidRPr="00A86447" w:rsidTr="00A86447">
        <w:trPr>
          <w:trHeight w:val="5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3 606,08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4 418,08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812,00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1 938,19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2 558,17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619,98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Социальные выплаты гражданам,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133,22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133,22</w:t>
            </w:r>
          </w:p>
        </w:tc>
      </w:tr>
      <w:tr w:rsidR="00A86447" w:rsidRPr="00A86447" w:rsidTr="00A86447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447" w:rsidRPr="00A86447" w:rsidRDefault="00A86447" w:rsidP="00A86447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Уплата налогов, сборов и иных платежей,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47,81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A86447">
              <w:rPr>
                <w:color w:val="000000"/>
                <w:sz w:val="26"/>
                <w:szCs w:val="26"/>
                <w:lang w:eastAsia="ru-RU"/>
              </w:rPr>
              <w:t>290,14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447" w:rsidRPr="00A86447" w:rsidRDefault="00A86447" w:rsidP="00A86447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A86447">
              <w:rPr>
                <w:color w:val="000000"/>
                <w:sz w:val="26"/>
                <w:szCs w:val="26"/>
                <w:lang w:eastAsia="ru-RU"/>
              </w:rPr>
              <w:t>242,33</w:t>
            </w:r>
          </w:p>
        </w:tc>
      </w:tr>
    </w:tbl>
    <w:p w:rsidR="00A86447" w:rsidRPr="005363A6" w:rsidRDefault="00A86447" w:rsidP="00657F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86447" w:rsidRPr="00A51996" w:rsidRDefault="00A86447" w:rsidP="00A864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Увеличение расходов по муниципальной услуге произошло преимущественно </w:t>
      </w:r>
      <w:proofErr w:type="gramStart"/>
      <w:r w:rsidRPr="00A51996">
        <w:rPr>
          <w:sz w:val="26"/>
          <w:szCs w:val="26"/>
        </w:rPr>
        <w:t>из-за</w:t>
      </w:r>
      <w:proofErr w:type="gramEnd"/>
      <w:r w:rsidRPr="00A51996">
        <w:rPr>
          <w:sz w:val="26"/>
          <w:szCs w:val="26"/>
        </w:rPr>
        <w:t>:</w:t>
      </w:r>
    </w:p>
    <w:p w:rsidR="00A86447" w:rsidRPr="008C33F6" w:rsidRDefault="00A86447" w:rsidP="00A86447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1996">
        <w:rPr>
          <w:sz w:val="26"/>
          <w:szCs w:val="26"/>
        </w:rPr>
        <w:t xml:space="preserve">увеличения выплат по заработной плате работникам на </w:t>
      </w:r>
      <w:r w:rsidR="00B033C5">
        <w:rPr>
          <w:sz w:val="26"/>
          <w:szCs w:val="26"/>
        </w:rPr>
        <w:t>3 377,73</w:t>
      </w:r>
      <w:r w:rsidRPr="00A51996">
        <w:rPr>
          <w:sz w:val="26"/>
          <w:szCs w:val="26"/>
        </w:rPr>
        <w:t xml:space="preserve"> тыс. руб. или </w:t>
      </w:r>
      <w:r w:rsidRPr="008C33F6">
        <w:rPr>
          <w:sz w:val="26"/>
          <w:szCs w:val="26"/>
        </w:rPr>
        <w:t xml:space="preserve">на </w:t>
      </w:r>
      <w:r w:rsidR="00B033C5">
        <w:rPr>
          <w:sz w:val="26"/>
          <w:szCs w:val="26"/>
        </w:rPr>
        <w:t>21,5</w:t>
      </w:r>
      <w:r w:rsidRPr="008C33F6">
        <w:rPr>
          <w:sz w:val="26"/>
          <w:szCs w:val="26"/>
        </w:rPr>
        <w:t xml:space="preserve"> % в целях реализации указа Президента Российской Федерации от 07.05.2012 г. № 597 «О мероприятиях по реализации государственной социальной политики»;</w:t>
      </w:r>
    </w:p>
    <w:p w:rsidR="00A86447" w:rsidRPr="008C33F6" w:rsidRDefault="00A86447" w:rsidP="00A86447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33F6">
        <w:rPr>
          <w:sz w:val="26"/>
          <w:szCs w:val="26"/>
        </w:rPr>
        <w:t xml:space="preserve">увеличением расходов на закупку товаров, работ, услуг на </w:t>
      </w:r>
      <w:r w:rsidR="00B033C5">
        <w:rPr>
          <w:sz w:val="26"/>
          <w:szCs w:val="26"/>
        </w:rPr>
        <w:t>619,98</w:t>
      </w:r>
      <w:r w:rsidRPr="008C33F6">
        <w:rPr>
          <w:sz w:val="26"/>
          <w:szCs w:val="26"/>
        </w:rPr>
        <w:t xml:space="preserve"> тыс. </w:t>
      </w:r>
      <w:r w:rsidRPr="008C33F6">
        <w:rPr>
          <w:sz w:val="26"/>
          <w:szCs w:val="26"/>
        </w:rPr>
        <w:lastRenderedPageBreak/>
        <w:t xml:space="preserve">руб. или на </w:t>
      </w:r>
      <w:r w:rsidR="00B033C5">
        <w:rPr>
          <w:sz w:val="26"/>
          <w:szCs w:val="26"/>
        </w:rPr>
        <w:t>31,9</w:t>
      </w:r>
      <w:r w:rsidRPr="008C33F6">
        <w:rPr>
          <w:sz w:val="26"/>
          <w:szCs w:val="26"/>
        </w:rPr>
        <w:t xml:space="preserve"> % в связи с оплатой охраны объекта ЧОП. </w:t>
      </w:r>
    </w:p>
    <w:p w:rsidR="0046145A" w:rsidRDefault="0046145A" w:rsidP="00042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4A1E11" w:rsidRPr="007C167C" w:rsidRDefault="004A1E11" w:rsidP="000420D7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4A1E11" w:rsidRDefault="004A1E11" w:rsidP="000420D7">
      <w:pPr>
        <w:ind w:firstLine="709"/>
        <w:jc w:val="both"/>
        <w:rPr>
          <w:sz w:val="26"/>
          <w:szCs w:val="26"/>
        </w:rPr>
      </w:pPr>
    </w:p>
    <w:p w:rsidR="00B033C5" w:rsidRPr="00B033C5" w:rsidRDefault="00B033C5" w:rsidP="00B033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033C5"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Учреждение разместило 4 показателя, характеризующих качество оказываемой муниципальной услуги по реализации основных общеобразовательных программ среднего общего образования: </w:t>
      </w:r>
    </w:p>
    <w:p w:rsidR="001C752F" w:rsidRPr="001C752F" w:rsidRDefault="001C752F" w:rsidP="00B033C5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Уровен</w:t>
      </w:r>
      <w:r w:rsidR="00422E62">
        <w:rPr>
          <w:sz w:val="26"/>
          <w:szCs w:val="26"/>
          <w:lang w:eastAsia="ru-RU"/>
        </w:rPr>
        <w:t xml:space="preserve">ь освоения </w:t>
      </w:r>
      <w:proofErr w:type="gramStart"/>
      <w:r w:rsidR="00422E62">
        <w:rPr>
          <w:sz w:val="26"/>
          <w:szCs w:val="26"/>
          <w:lang w:eastAsia="ru-RU"/>
        </w:rPr>
        <w:t>обучающимися</w:t>
      </w:r>
      <w:proofErr w:type="gramEnd"/>
      <w:r w:rsidR="00422E62">
        <w:rPr>
          <w:sz w:val="26"/>
          <w:szCs w:val="26"/>
          <w:lang w:eastAsia="ru-RU"/>
        </w:rPr>
        <w:t xml:space="preserve"> основных</w:t>
      </w:r>
      <w:r w:rsidRPr="001C752F">
        <w:rPr>
          <w:sz w:val="26"/>
          <w:szCs w:val="26"/>
          <w:lang w:eastAsia="ru-RU"/>
        </w:rPr>
        <w:t xml:space="preserve"> </w:t>
      </w:r>
      <w:r w:rsidR="00422E62">
        <w:rPr>
          <w:sz w:val="26"/>
          <w:szCs w:val="26"/>
          <w:lang w:eastAsia="ru-RU"/>
        </w:rPr>
        <w:t>общеобразовательных программ</w:t>
      </w:r>
      <w:r w:rsidRPr="001C752F">
        <w:rPr>
          <w:sz w:val="26"/>
          <w:szCs w:val="26"/>
          <w:lang w:eastAsia="ru-RU"/>
        </w:rPr>
        <w:t xml:space="preserve"> начального общего, основного общего, среднего общего образования по завершении первой, второй, третьей ступени общего образования – исполнение </w:t>
      </w:r>
      <w:r w:rsidR="00575ABB">
        <w:rPr>
          <w:sz w:val="26"/>
          <w:szCs w:val="26"/>
          <w:lang w:eastAsia="ru-RU"/>
        </w:rPr>
        <w:t>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 xml:space="preserve">Полнота реализации основной </w:t>
      </w:r>
      <w:r w:rsidR="00422E62">
        <w:rPr>
          <w:sz w:val="26"/>
          <w:szCs w:val="26"/>
          <w:lang w:eastAsia="ru-RU"/>
        </w:rPr>
        <w:t>обще</w:t>
      </w:r>
      <w:r w:rsidRPr="001C752F">
        <w:rPr>
          <w:sz w:val="26"/>
          <w:szCs w:val="26"/>
          <w:lang w:eastAsia="ru-RU"/>
        </w:rPr>
        <w:t>образовательной программы начального общего, основного общего, среднего общего образования</w:t>
      </w:r>
      <w:r w:rsidR="00386B23">
        <w:rPr>
          <w:sz w:val="26"/>
          <w:szCs w:val="26"/>
          <w:lang w:eastAsia="ru-RU"/>
        </w:rPr>
        <w:t xml:space="preserve"> </w:t>
      </w:r>
      <w:r w:rsidR="00422E62">
        <w:rPr>
          <w:sz w:val="26"/>
          <w:szCs w:val="26"/>
          <w:lang w:eastAsia="ru-RU"/>
        </w:rPr>
        <w:t>-</w:t>
      </w:r>
      <w:r w:rsidRPr="001C752F">
        <w:rPr>
          <w:sz w:val="26"/>
          <w:szCs w:val="26"/>
          <w:lang w:eastAsia="ru-RU"/>
        </w:rPr>
        <w:t xml:space="preserve"> исполнение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– исполнение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422E62">
        <w:rPr>
          <w:sz w:val="26"/>
          <w:szCs w:val="26"/>
          <w:lang w:eastAsia="ru-RU"/>
        </w:rPr>
        <w:t>яемой</w:t>
      </w:r>
      <w:r w:rsidRPr="001C752F">
        <w:rPr>
          <w:sz w:val="26"/>
          <w:szCs w:val="26"/>
          <w:lang w:eastAsia="ru-RU"/>
        </w:rPr>
        <w:t xml:space="preserve">  услуги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– исполнение 9</w:t>
      </w:r>
      <w:r w:rsidR="00CB47D3">
        <w:rPr>
          <w:sz w:val="26"/>
          <w:szCs w:val="26"/>
          <w:lang w:eastAsia="ru-RU"/>
        </w:rPr>
        <w:t>7,8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 xml:space="preserve">% при плане </w:t>
      </w:r>
      <w:r w:rsidR="00575ABB">
        <w:rPr>
          <w:sz w:val="26"/>
          <w:szCs w:val="26"/>
          <w:lang w:eastAsia="ru-RU"/>
        </w:rPr>
        <w:t>100</w:t>
      </w:r>
      <w:r w:rsidR="00386B23">
        <w:rPr>
          <w:sz w:val="26"/>
          <w:szCs w:val="26"/>
          <w:lang w:eastAsia="ru-RU"/>
        </w:rPr>
        <w:t xml:space="preserve"> </w:t>
      </w:r>
      <w:r w:rsidR="00B86DED">
        <w:rPr>
          <w:sz w:val="26"/>
          <w:szCs w:val="26"/>
          <w:lang w:eastAsia="ru-RU"/>
        </w:rPr>
        <w:t>%.</w:t>
      </w:r>
    </w:p>
    <w:p w:rsidR="00AF5A88" w:rsidRDefault="00AF5A88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F5A88">
        <w:rPr>
          <w:sz w:val="26"/>
          <w:szCs w:val="26"/>
        </w:rPr>
        <w:t xml:space="preserve">Для уникального номера реестровой записи 802112О.99.0.ББ11АГ00000, который указан в отчете о выполнении муниципального задания, показатели характеризующие качество муниципальной услуги </w:t>
      </w:r>
      <w:r w:rsidRPr="00AF5A88">
        <w:rPr>
          <w:b/>
          <w:sz w:val="26"/>
          <w:szCs w:val="26"/>
        </w:rPr>
        <w:t>не предусмотрены</w:t>
      </w:r>
      <w:r w:rsidRPr="00AF5A88">
        <w:rPr>
          <w:sz w:val="26"/>
          <w:szCs w:val="26"/>
        </w:rPr>
        <w:t>, т. е. в муниципальном задании, как и в отчете не указываются.</w:t>
      </w:r>
    </w:p>
    <w:p w:rsidR="00AF5A88" w:rsidRDefault="00AF5A88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422E62" w:rsidRPr="00E41863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</w:rPr>
        <w:t xml:space="preserve">МБОУ </w:t>
      </w:r>
      <w:r w:rsidRPr="00D31104">
        <w:rPr>
          <w:sz w:val="26"/>
          <w:szCs w:val="26"/>
          <w:lang w:eastAsia="ru-RU"/>
        </w:rPr>
        <w:t xml:space="preserve">«ПСОШ № </w:t>
      </w:r>
      <w:r>
        <w:rPr>
          <w:sz w:val="26"/>
          <w:szCs w:val="26"/>
          <w:lang w:eastAsia="ru-RU"/>
        </w:rPr>
        <w:t>2</w:t>
      </w:r>
      <w:r w:rsidRPr="00D31104">
        <w:rPr>
          <w:sz w:val="26"/>
          <w:szCs w:val="26"/>
          <w:lang w:eastAsia="ru-RU"/>
        </w:rPr>
        <w:t xml:space="preserve"> ПМ</w:t>
      </w:r>
      <w:r>
        <w:rPr>
          <w:sz w:val="26"/>
          <w:szCs w:val="26"/>
          <w:lang w:eastAsia="ru-RU"/>
        </w:rPr>
        <w:t>О</w:t>
      </w:r>
      <w:r w:rsidRPr="00D31104">
        <w:rPr>
          <w:sz w:val="26"/>
          <w:szCs w:val="26"/>
          <w:lang w:eastAsia="ru-RU"/>
        </w:rPr>
        <w:t>»</w:t>
      </w:r>
      <w:r w:rsidRPr="00E41863">
        <w:rPr>
          <w:sz w:val="26"/>
          <w:szCs w:val="26"/>
          <w:lang w:eastAsia="ru-RU"/>
        </w:rPr>
        <w:t xml:space="preserve"> </w:t>
      </w:r>
      <w:r w:rsidRPr="00E4186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CB47D3" w:rsidRPr="002017F3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B47D3" w:rsidRPr="002017F3">
        <w:rPr>
          <w:sz w:val="26"/>
          <w:szCs w:val="26"/>
        </w:rPr>
        <w:t xml:space="preserve">иректор  МБОУ </w:t>
      </w:r>
      <w:r w:rsidR="00CB47D3" w:rsidRPr="002017F3">
        <w:rPr>
          <w:sz w:val="26"/>
          <w:szCs w:val="26"/>
          <w:lang w:eastAsia="ru-RU"/>
        </w:rPr>
        <w:t>«ПСОШ № 2</w:t>
      </w:r>
      <w:r>
        <w:rPr>
          <w:sz w:val="26"/>
          <w:szCs w:val="26"/>
          <w:lang w:eastAsia="ru-RU"/>
        </w:rPr>
        <w:t xml:space="preserve"> ПМО</w:t>
      </w:r>
      <w:r w:rsidR="00CB47D3" w:rsidRPr="002017F3">
        <w:rPr>
          <w:sz w:val="26"/>
          <w:szCs w:val="26"/>
          <w:lang w:eastAsia="ru-RU"/>
        </w:rPr>
        <w:t>»</w:t>
      </w:r>
      <w:r w:rsidR="00CB47D3">
        <w:rPr>
          <w:sz w:val="26"/>
          <w:szCs w:val="26"/>
          <w:lang w:eastAsia="ru-RU"/>
        </w:rPr>
        <w:tab/>
      </w:r>
      <w:r w:rsidR="00CB47D3">
        <w:rPr>
          <w:sz w:val="26"/>
          <w:szCs w:val="26"/>
          <w:lang w:eastAsia="ru-RU"/>
        </w:rPr>
        <w:tab/>
      </w:r>
      <w:r w:rsidR="00CB47D3" w:rsidRPr="002017F3">
        <w:rPr>
          <w:sz w:val="26"/>
          <w:szCs w:val="26"/>
          <w:lang w:eastAsia="ru-RU"/>
        </w:rPr>
        <w:t xml:space="preserve">  </w:t>
      </w:r>
      <w:r w:rsidR="00CB47D3">
        <w:rPr>
          <w:sz w:val="26"/>
          <w:szCs w:val="26"/>
        </w:rPr>
        <w:t xml:space="preserve">   </w:t>
      </w:r>
      <w:r w:rsidR="00FF468D">
        <w:rPr>
          <w:sz w:val="26"/>
          <w:szCs w:val="26"/>
        </w:rPr>
        <w:t xml:space="preserve">      </w:t>
      </w:r>
      <w:r w:rsidR="00CB4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Жалнина И. А.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37" w:rsidRDefault="009E7237" w:rsidP="00D35B34">
      <w:r>
        <w:separator/>
      </w:r>
    </w:p>
  </w:endnote>
  <w:endnote w:type="continuationSeparator" w:id="0">
    <w:p w:rsidR="009E7237" w:rsidRDefault="009E7237" w:rsidP="00D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38307"/>
      <w:docPartObj>
        <w:docPartGallery w:val="Page Numbers (Bottom of Page)"/>
        <w:docPartUnique/>
      </w:docPartObj>
    </w:sdtPr>
    <w:sdtEndPr/>
    <w:sdtContent>
      <w:p w:rsidR="00D35B34" w:rsidRDefault="00D35B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9E">
          <w:rPr>
            <w:noProof/>
          </w:rPr>
          <w:t>5</w:t>
        </w:r>
        <w:r>
          <w:fldChar w:fldCharType="end"/>
        </w:r>
      </w:p>
    </w:sdtContent>
  </w:sdt>
  <w:p w:rsidR="00D35B34" w:rsidRDefault="00D35B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37" w:rsidRDefault="009E7237" w:rsidP="00D35B34">
      <w:r>
        <w:separator/>
      </w:r>
    </w:p>
  </w:footnote>
  <w:footnote w:type="continuationSeparator" w:id="0">
    <w:p w:rsidR="009E7237" w:rsidRDefault="009E7237" w:rsidP="00D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1"/>
  </w:num>
  <w:num w:numId="8">
    <w:abstractNumId w:val="14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35B"/>
    <w:rsid w:val="00021E1B"/>
    <w:rsid w:val="00024C9E"/>
    <w:rsid w:val="00041A3B"/>
    <w:rsid w:val="000420D7"/>
    <w:rsid w:val="00055A80"/>
    <w:rsid w:val="000579B5"/>
    <w:rsid w:val="00061AEE"/>
    <w:rsid w:val="00063AC8"/>
    <w:rsid w:val="00071A07"/>
    <w:rsid w:val="00072076"/>
    <w:rsid w:val="000932B5"/>
    <w:rsid w:val="000B0207"/>
    <w:rsid w:val="000B2C9E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1DB"/>
    <w:rsid w:val="001D26D1"/>
    <w:rsid w:val="001E06F3"/>
    <w:rsid w:val="001E691B"/>
    <w:rsid w:val="001F1375"/>
    <w:rsid w:val="001F68E4"/>
    <w:rsid w:val="001F721B"/>
    <w:rsid w:val="00203839"/>
    <w:rsid w:val="00206294"/>
    <w:rsid w:val="00216F61"/>
    <w:rsid w:val="00223D4C"/>
    <w:rsid w:val="00237160"/>
    <w:rsid w:val="0024018E"/>
    <w:rsid w:val="0024406F"/>
    <w:rsid w:val="0024412A"/>
    <w:rsid w:val="00245202"/>
    <w:rsid w:val="00247B6A"/>
    <w:rsid w:val="00253B33"/>
    <w:rsid w:val="00260441"/>
    <w:rsid w:val="002744F6"/>
    <w:rsid w:val="00285393"/>
    <w:rsid w:val="00293671"/>
    <w:rsid w:val="002B4DEB"/>
    <w:rsid w:val="002C2A4C"/>
    <w:rsid w:val="002D213E"/>
    <w:rsid w:val="002D3303"/>
    <w:rsid w:val="002D4A9A"/>
    <w:rsid w:val="002D56C8"/>
    <w:rsid w:val="002E0716"/>
    <w:rsid w:val="002F2F5E"/>
    <w:rsid w:val="002F6FB1"/>
    <w:rsid w:val="00314E30"/>
    <w:rsid w:val="0031538B"/>
    <w:rsid w:val="003173AB"/>
    <w:rsid w:val="003343DA"/>
    <w:rsid w:val="00347F1F"/>
    <w:rsid w:val="00383C2E"/>
    <w:rsid w:val="0038509A"/>
    <w:rsid w:val="00386B23"/>
    <w:rsid w:val="0039224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2E62"/>
    <w:rsid w:val="004247DF"/>
    <w:rsid w:val="0042597E"/>
    <w:rsid w:val="00440389"/>
    <w:rsid w:val="00451DAB"/>
    <w:rsid w:val="0046145A"/>
    <w:rsid w:val="004614AF"/>
    <w:rsid w:val="004654CF"/>
    <w:rsid w:val="004733F3"/>
    <w:rsid w:val="00473CA3"/>
    <w:rsid w:val="00485AFF"/>
    <w:rsid w:val="004A1E11"/>
    <w:rsid w:val="004C558A"/>
    <w:rsid w:val="004D70F0"/>
    <w:rsid w:val="004F4236"/>
    <w:rsid w:val="005115A2"/>
    <w:rsid w:val="00511EE1"/>
    <w:rsid w:val="0052682C"/>
    <w:rsid w:val="00545C7F"/>
    <w:rsid w:val="005616B6"/>
    <w:rsid w:val="005732B2"/>
    <w:rsid w:val="00575ABB"/>
    <w:rsid w:val="005A08AA"/>
    <w:rsid w:val="005A5162"/>
    <w:rsid w:val="005B2F15"/>
    <w:rsid w:val="005C06FB"/>
    <w:rsid w:val="005C5740"/>
    <w:rsid w:val="005D5C17"/>
    <w:rsid w:val="005F7B59"/>
    <w:rsid w:val="00601F78"/>
    <w:rsid w:val="006249F0"/>
    <w:rsid w:val="00642233"/>
    <w:rsid w:val="00651EC7"/>
    <w:rsid w:val="00657F91"/>
    <w:rsid w:val="00673F41"/>
    <w:rsid w:val="00696CD5"/>
    <w:rsid w:val="006B1660"/>
    <w:rsid w:val="006B181D"/>
    <w:rsid w:val="006B4D31"/>
    <w:rsid w:val="006B6083"/>
    <w:rsid w:val="006B6CD8"/>
    <w:rsid w:val="006B6DBA"/>
    <w:rsid w:val="006D4B8C"/>
    <w:rsid w:val="006F029E"/>
    <w:rsid w:val="006F2AE0"/>
    <w:rsid w:val="006F52DB"/>
    <w:rsid w:val="007013BA"/>
    <w:rsid w:val="007032E3"/>
    <w:rsid w:val="00711BC0"/>
    <w:rsid w:val="00712F77"/>
    <w:rsid w:val="00715FE2"/>
    <w:rsid w:val="00717520"/>
    <w:rsid w:val="007324D0"/>
    <w:rsid w:val="007460AB"/>
    <w:rsid w:val="00746C55"/>
    <w:rsid w:val="00753587"/>
    <w:rsid w:val="0075366D"/>
    <w:rsid w:val="0076171A"/>
    <w:rsid w:val="007650E2"/>
    <w:rsid w:val="007776CD"/>
    <w:rsid w:val="007843E0"/>
    <w:rsid w:val="00785722"/>
    <w:rsid w:val="007C2C17"/>
    <w:rsid w:val="007D097E"/>
    <w:rsid w:val="007E2B9E"/>
    <w:rsid w:val="007F3EB3"/>
    <w:rsid w:val="007F66F2"/>
    <w:rsid w:val="00805A56"/>
    <w:rsid w:val="00810E42"/>
    <w:rsid w:val="008146B0"/>
    <w:rsid w:val="0081558A"/>
    <w:rsid w:val="008252A3"/>
    <w:rsid w:val="008323DF"/>
    <w:rsid w:val="008347AA"/>
    <w:rsid w:val="008555C2"/>
    <w:rsid w:val="0085795F"/>
    <w:rsid w:val="00865AAC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19CF"/>
    <w:rsid w:val="009729AD"/>
    <w:rsid w:val="00973A99"/>
    <w:rsid w:val="009A5677"/>
    <w:rsid w:val="009A74B7"/>
    <w:rsid w:val="009B6D50"/>
    <w:rsid w:val="009C3ED5"/>
    <w:rsid w:val="009E359C"/>
    <w:rsid w:val="009E44B2"/>
    <w:rsid w:val="009E7237"/>
    <w:rsid w:val="009F1167"/>
    <w:rsid w:val="009F3C2C"/>
    <w:rsid w:val="009F73FD"/>
    <w:rsid w:val="00A319B1"/>
    <w:rsid w:val="00A31DD9"/>
    <w:rsid w:val="00A47FDD"/>
    <w:rsid w:val="00A564E2"/>
    <w:rsid w:val="00A56626"/>
    <w:rsid w:val="00A567D6"/>
    <w:rsid w:val="00A57565"/>
    <w:rsid w:val="00A744E8"/>
    <w:rsid w:val="00A81F5A"/>
    <w:rsid w:val="00A86447"/>
    <w:rsid w:val="00A86A4D"/>
    <w:rsid w:val="00AC4087"/>
    <w:rsid w:val="00AC75C3"/>
    <w:rsid w:val="00AD475A"/>
    <w:rsid w:val="00AD6ADB"/>
    <w:rsid w:val="00AF22C0"/>
    <w:rsid w:val="00AF5A88"/>
    <w:rsid w:val="00B033C5"/>
    <w:rsid w:val="00B22D1B"/>
    <w:rsid w:val="00B4033D"/>
    <w:rsid w:val="00B43B13"/>
    <w:rsid w:val="00B4543C"/>
    <w:rsid w:val="00B46ED4"/>
    <w:rsid w:val="00B639B7"/>
    <w:rsid w:val="00B7588D"/>
    <w:rsid w:val="00B8104A"/>
    <w:rsid w:val="00B86DED"/>
    <w:rsid w:val="00BA4C53"/>
    <w:rsid w:val="00BD36B6"/>
    <w:rsid w:val="00BE0E3D"/>
    <w:rsid w:val="00BE568C"/>
    <w:rsid w:val="00BE720C"/>
    <w:rsid w:val="00BE76BA"/>
    <w:rsid w:val="00BF56E3"/>
    <w:rsid w:val="00BF6742"/>
    <w:rsid w:val="00BF7DE1"/>
    <w:rsid w:val="00C00DFC"/>
    <w:rsid w:val="00C04BC0"/>
    <w:rsid w:val="00C10371"/>
    <w:rsid w:val="00C1750A"/>
    <w:rsid w:val="00C24D65"/>
    <w:rsid w:val="00C36CB3"/>
    <w:rsid w:val="00C55FBC"/>
    <w:rsid w:val="00C84E02"/>
    <w:rsid w:val="00CA01C6"/>
    <w:rsid w:val="00CA29AD"/>
    <w:rsid w:val="00CA301A"/>
    <w:rsid w:val="00CA5C2E"/>
    <w:rsid w:val="00CB47D3"/>
    <w:rsid w:val="00CC0163"/>
    <w:rsid w:val="00CC7DD4"/>
    <w:rsid w:val="00CD6D6D"/>
    <w:rsid w:val="00CE646F"/>
    <w:rsid w:val="00D04F1C"/>
    <w:rsid w:val="00D10F97"/>
    <w:rsid w:val="00D13C71"/>
    <w:rsid w:val="00D31104"/>
    <w:rsid w:val="00D35B34"/>
    <w:rsid w:val="00D4314A"/>
    <w:rsid w:val="00D5782B"/>
    <w:rsid w:val="00D57899"/>
    <w:rsid w:val="00D67FC2"/>
    <w:rsid w:val="00D8492D"/>
    <w:rsid w:val="00DA4D65"/>
    <w:rsid w:val="00DC1EFC"/>
    <w:rsid w:val="00DC757F"/>
    <w:rsid w:val="00DD22D5"/>
    <w:rsid w:val="00DE5573"/>
    <w:rsid w:val="00DE5F43"/>
    <w:rsid w:val="00DF0F01"/>
    <w:rsid w:val="00DF6A04"/>
    <w:rsid w:val="00E02F11"/>
    <w:rsid w:val="00E03AA5"/>
    <w:rsid w:val="00E30243"/>
    <w:rsid w:val="00E41197"/>
    <w:rsid w:val="00E50A61"/>
    <w:rsid w:val="00E80635"/>
    <w:rsid w:val="00E84D35"/>
    <w:rsid w:val="00EB3820"/>
    <w:rsid w:val="00EB7894"/>
    <w:rsid w:val="00ED4CCB"/>
    <w:rsid w:val="00ED61AE"/>
    <w:rsid w:val="00EE4093"/>
    <w:rsid w:val="00EF4973"/>
    <w:rsid w:val="00EF4D2E"/>
    <w:rsid w:val="00EF6398"/>
    <w:rsid w:val="00EF7150"/>
    <w:rsid w:val="00EF7B96"/>
    <w:rsid w:val="00F01846"/>
    <w:rsid w:val="00F16D90"/>
    <w:rsid w:val="00F31B20"/>
    <w:rsid w:val="00F3604D"/>
    <w:rsid w:val="00F75F57"/>
    <w:rsid w:val="00F83928"/>
    <w:rsid w:val="00F848E9"/>
    <w:rsid w:val="00F95532"/>
    <w:rsid w:val="00FA71A9"/>
    <w:rsid w:val="00FB2DEA"/>
    <w:rsid w:val="00FC2801"/>
    <w:rsid w:val="00FD24CF"/>
    <w:rsid w:val="00FF0579"/>
    <w:rsid w:val="00FF1391"/>
    <w:rsid w:val="00FF2CB5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0057-ED3B-45D1-89A9-F58E84F4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138</cp:revision>
  <cp:lastPrinted>2021-08-05T00:36:00Z</cp:lastPrinted>
  <dcterms:created xsi:type="dcterms:W3CDTF">2015-01-29T23:28:00Z</dcterms:created>
  <dcterms:modified xsi:type="dcterms:W3CDTF">2023-04-03T01:34:00Z</dcterms:modified>
</cp:coreProperties>
</file>