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D6388">
        <w:rPr>
          <w:sz w:val="26"/>
          <w:szCs w:val="26"/>
          <w:lang w:eastAsia="ru-RU"/>
        </w:rPr>
        <w:t>12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887F71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887F71">
        <w:rPr>
          <w:sz w:val="26"/>
          <w:szCs w:val="26"/>
          <w:lang w:eastAsia="ru-RU"/>
        </w:rPr>
        <w:t xml:space="preserve">униципального бюджетного образовательного учреждения </w:t>
      </w:r>
    </w:p>
    <w:p w:rsidR="0098234D" w:rsidRDefault="00887F71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98234D" w:rsidRPr="002B2810">
        <w:rPr>
          <w:sz w:val="26"/>
          <w:szCs w:val="26"/>
          <w:lang w:eastAsia="ru-RU"/>
        </w:rPr>
        <w:t xml:space="preserve"> «</w:t>
      </w:r>
      <w:r w:rsidR="0098234D">
        <w:rPr>
          <w:sz w:val="26"/>
          <w:szCs w:val="26"/>
          <w:lang w:eastAsia="ru-RU"/>
        </w:rPr>
        <w:t>Детско-юношеская спортивная школа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887F71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98234D" w:rsidRPr="00770552" w:rsidRDefault="00887F71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98234D" w:rsidRPr="00770552">
        <w:rPr>
          <w:sz w:val="26"/>
          <w:szCs w:val="26"/>
          <w:lang w:eastAsia="ru-RU"/>
        </w:rPr>
        <w:t xml:space="preserve">ДЮСШ)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BD6388" w:rsidRPr="000525BA" w:rsidRDefault="00BD6388" w:rsidP="00BD63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BD6388" w:rsidRPr="00E02F11" w:rsidRDefault="00BD6388" w:rsidP="00BD638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D6388" w:rsidRPr="00E02F11" w:rsidRDefault="00BD6388" w:rsidP="00BD638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6B46BA" w:rsidRPr="00E02F11" w:rsidRDefault="00887F71" w:rsidP="00887F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Детско-юношеская спортивная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887F71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 ДЮСШ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8234D" w:rsidRDefault="0098234D" w:rsidP="0098234D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Карла-Маркса,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98234D" w:rsidP="0098234D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8234D" w:rsidRPr="00B1026E" w:rsidRDefault="0098234D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003453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1122511005210</w:t>
      </w:r>
      <w:r w:rsidR="00887F71">
        <w:rPr>
          <w:rFonts w:ascii="Times New Roman" w:hAnsi="Times New Roman"/>
          <w:sz w:val="26"/>
          <w:szCs w:val="26"/>
        </w:rPr>
        <w:t>,</w:t>
      </w:r>
      <w:r w:rsidR="00887F71" w:rsidRPr="000525BA">
        <w:rPr>
          <w:rFonts w:ascii="Times New Roman" w:hAnsi="Times New Roman"/>
          <w:sz w:val="26"/>
          <w:szCs w:val="26"/>
        </w:rPr>
        <w:t xml:space="preserve"> </w:t>
      </w:r>
      <w:r w:rsidR="00887F71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887F71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87F71">
        <w:rPr>
          <w:rFonts w:ascii="Times New Roman" w:hAnsi="Times New Roman"/>
          <w:sz w:val="26"/>
          <w:szCs w:val="26"/>
          <w:shd w:val="clear" w:color="auto" w:fill="FFFFFF"/>
        </w:rPr>
        <w:t>053Ь8015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887F71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8234D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lastRenderedPageBreak/>
        <w:t>округа</w:t>
      </w:r>
      <w:r w:rsidR="0098234D">
        <w:rPr>
          <w:rFonts w:ascii="Times New Roman" w:hAnsi="Times New Roman"/>
          <w:sz w:val="26"/>
          <w:szCs w:val="26"/>
        </w:rPr>
        <w:t xml:space="preserve"> Приморского края</w:t>
      </w:r>
      <w:r w:rsidR="0098234D" w:rsidRPr="002B2810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98234D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887F71" w:rsidRPr="002B2810">
        <w:rPr>
          <w:rFonts w:ascii="Times New Roman" w:hAnsi="Times New Roman"/>
          <w:sz w:val="26"/>
          <w:szCs w:val="26"/>
        </w:rPr>
        <w:t>лицев</w:t>
      </w:r>
      <w:r w:rsidR="00887F71">
        <w:rPr>
          <w:rFonts w:ascii="Times New Roman" w:hAnsi="Times New Roman"/>
          <w:sz w:val="26"/>
          <w:szCs w:val="26"/>
        </w:rPr>
        <w:t>ые</w:t>
      </w:r>
      <w:r w:rsidR="00887F71" w:rsidRPr="002B2810">
        <w:rPr>
          <w:rFonts w:ascii="Times New Roman" w:hAnsi="Times New Roman"/>
          <w:sz w:val="26"/>
          <w:szCs w:val="26"/>
        </w:rPr>
        <w:t xml:space="preserve"> счет</w:t>
      </w:r>
      <w:r w:rsidR="00887F71">
        <w:rPr>
          <w:rFonts w:ascii="Times New Roman" w:hAnsi="Times New Roman"/>
          <w:sz w:val="26"/>
          <w:szCs w:val="26"/>
        </w:rPr>
        <w:t>а (</w:t>
      </w:r>
      <w:r w:rsidR="00887F71" w:rsidRPr="00E2457C">
        <w:rPr>
          <w:rFonts w:ascii="Times New Roman" w:hAnsi="Times New Roman"/>
          <w:sz w:val="26"/>
          <w:szCs w:val="26"/>
        </w:rPr>
        <w:t>20206Ь80</w:t>
      </w:r>
      <w:r w:rsidR="00887F71">
        <w:rPr>
          <w:rFonts w:ascii="Times New Roman" w:hAnsi="Times New Roman"/>
          <w:sz w:val="26"/>
          <w:szCs w:val="26"/>
        </w:rPr>
        <w:t xml:space="preserve">150, </w:t>
      </w:r>
      <w:r w:rsidR="00887F71" w:rsidRPr="00E2457C">
        <w:rPr>
          <w:rFonts w:ascii="Times New Roman" w:hAnsi="Times New Roman"/>
          <w:sz w:val="26"/>
          <w:szCs w:val="26"/>
        </w:rPr>
        <w:t>21206Ь80</w:t>
      </w:r>
      <w:r w:rsidR="00887F71">
        <w:rPr>
          <w:rFonts w:ascii="Times New Roman" w:hAnsi="Times New Roman"/>
          <w:sz w:val="26"/>
          <w:szCs w:val="26"/>
        </w:rPr>
        <w:t>150),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8234D" w:rsidRPr="002B2810" w:rsidRDefault="0098234D" w:rsidP="009823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8234D" w:rsidRPr="002A7AA7" w:rsidRDefault="0098234D" w:rsidP="000C05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Лавриненко П.</w:t>
      </w:r>
      <w:r w:rsidR="000C05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МБОУ ДО ДЮСШ</w:t>
      </w:r>
      <w:r w:rsidRPr="002A7AA7">
        <w:rPr>
          <w:rFonts w:ascii="Times New Roman" w:hAnsi="Times New Roman"/>
          <w:sz w:val="26"/>
          <w:szCs w:val="26"/>
        </w:rPr>
        <w:t>, принят на</w:t>
      </w:r>
      <w:r w:rsidR="000C057A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6F75AC">
        <w:rPr>
          <w:rFonts w:ascii="Times New Roman" w:hAnsi="Times New Roman"/>
          <w:sz w:val="26"/>
          <w:szCs w:val="26"/>
        </w:rPr>
        <w:t>г</w:t>
      </w:r>
      <w:r w:rsidR="000C057A">
        <w:rPr>
          <w:rFonts w:ascii="Times New Roman" w:hAnsi="Times New Roman"/>
          <w:sz w:val="26"/>
          <w:szCs w:val="26"/>
        </w:rPr>
        <w:t>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C057A">
        <w:rPr>
          <w:rFonts w:ascii="Times New Roman" w:hAnsi="Times New Roman"/>
          <w:sz w:val="26"/>
          <w:szCs w:val="26"/>
        </w:rPr>
        <w:t xml:space="preserve">округа </w:t>
      </w:r>
      <w:r w:rsidRPr="002A7AA7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</w:p>
    <w:p w:rsidR="0098234D" w:rsidRPr="002A7AA7" w:rsidRDefault="0098234D" w:rsidP="0098234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Шумляева О.</w:t>
      </w:r>
      <w:r w:rsidR="000C05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="000C057A">
        <w:rPr>
          <w:rFonts w:ascii="Times New Roman" w:hAnsi="Times New Roman"/>
          <w:sz w:val="26"/>
          <w:szCs w:val="26"/>
          <w:lang w:eastAsia="ru-RU"/>
        </w:rPr>
        <w:t xml:space="preserve">МБОУ ДО </w:t>
      </w:r>
      <w:r>
        <w:rPr>
          <w:rFonts w:ascii="Times New Roman" w:hAnsi="Times New Roman"/>
          <w:sz w:val="26"/>
          <w:szCs w:val="26"/>
          <w:lang w:eastAsia="ru-RU"/>
        </w:rPr>
        <w:t>ДЮСШ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8234D" w:rsidRPr="002B2810" w:rsidRDefault="0098234D" w:rsidP="0098234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6B46BA">
        <w:rPr>
          <w:rFonts w:ascii="Times New Roman" w:hAnsi="Times New Roman"/>
          <w:sz w:val="26"/>
          <w:szCs w:val="26"/>
          <w:u w:val="single"/>
        </w:rPr>
        <w:t>8</w:t>
      </w:r>
      <w:r w:rsidR="00E1437B">
        <w:rPr>
          <w:rFonts w:ascii="Times New Roman" w:hAnsi="Times New Roman"/>
          <w:sz w:val="26"/>
          <w:szCs w:val="26"/>
          <w:u w:val="single"/>
        </w:rPr>
        <w:t> 568,90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B46B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4E2944" w:rsidRPr="00A2603C" w:rsidRDefault="004E2944" w:rsidP="004E294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–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  <w:proofErr w:type="gramEnd"/>
    </w:p>
    <w:p w:rsidR="004E2944" w:rsidRPr="00A2603C" w:rsidRDefault="004E2944" w:rsidP="004E294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4E2944" w:rsidRPr="00A2603C" w:rsidRDefault="004E2944" w:rsidP="004E294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бюджета.</w:t>
      </w:r>
    </w:p>
    <w:p w:rsidR="004E2944" w:rsidRDefault="004E2944" w:rsidP="004E294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вид деятельности 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>не соответствует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4E2944" w:rsidRDefault="004E2944" w:rsidP="004E2944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6F75AC" w:rsidRDefault="006F75AC" w:rsidP="006F75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AE589E" w:rsidRPr="00E02F11" w:rsidRDefault="00AE589E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6954E4" w:rsidRPr="001C2DCA" w:rsidRDefault="006954E4" w:rsidP="006954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6954E4" w:rsidRDefault="006954E4" w:rsidP="006954E4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6954E4" w:rsidRPr="001C2DCA" w:rsidRDefault="006954E4" w:rsidP="006954E4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6954E4" w:rsidRPr="001C2DCA" w:rsidRDefault="006954E4" w:rsidP="006954E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6954E4" w:rsidRPr="001C2DCA" w:rsidRDefault="006954E4" w:rsidP="006954E4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6954E4" w:rsidRDefault="006954E4" w:rsidP="006954E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6954E4" w:rsidRDefault="006954E4" w:rsidP="006954E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6954E4" w:rsidTr="00B90583">
        <w:tc>
          <w:tcPr>
            <w:tcW w:w="3544" w:type="dxa"/>
          </w:tcPr>
          <w:p w:rsidR="006954E4" w:rsidRDefault="006954E4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954E4" w:rsidRDefault="006954E4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6954E4" w:rsidRPr="007A718D" w:rsidRDefault="002A3A12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6954E4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6954E4" w:rsidRDefault="006954E4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6954E4" w:rsidTr="00B90583">
        <w:tc>
          <w:tcPr>
            <w:tcW w:w="3544" w:type="dxa"/>
          </w:tcPr>
          <w:p w:rsidR="006954E4" w:rsidRDefault="006954E4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6954E4" w:rsidRDefault="0014168C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 xml:space="preserve">(дата отчета: </w:t>
            </w:r>
            <w:r w:rsidR="006954E4">
              <w:rPr>
                <w:rStyle w:val="a9"/>
                <w:color w:val="auto"/>
                <w:sz w:val="26"/>
                <w:szCs w:val="26"/>
                <w:u w:val="none"/>
              </w:rPr>
              <w:t>1</w:t>
            </w:r>
            <w:r>
              <w:rPr>
                <w:rStyle w:val="a9"/>
                <w:color w:val="auto"/>
                <w:sz w:val="26"/>
                <w:szCs w:val="26"/>
                <w:u w:val="none"/>
              </w:rPr>
              <w:t>3</w:t>
            </w:r>
            <w:r w:rsidR="006954E4">
              <w:rPr>
                <w:rStyle w:val="a9"/>
                <w:color w:val="auto"/>
                <w:sz w:val="26"/>
                <w:szCs w:val="26"/>
                <w:u w:val="none"/>
              </w:rPr>
              <w:t>.04.2022 г.)</w:t>
            </w:r>
          </w:p>
        </w:tc>
        <w:tc>
          <w:tcPr>
            <w:tcW w:w="3119" w:type="dxa"/>
            <w:vAlign w:val="center"/>
          </w:tcPr>
          <w:p w:rsidR="006954E4" w:rsidRPr="001B5360" w:rsidRDefault="0014168C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13</w:t>
            </w:r>
            <w:r w:rsidR="006954E4">
              <w:rPr>
                <w:rStyle w:val="a9"/>
                <w:color w:val="auto"/>
                <w:sz w:val="26"/>
                <w:szCs w:val="26"/>
                <w:u w:val="none"/>
              </w:rPr>
              <w:t>.04.2022 г.</w:t>
            </w:r>
          </w:p>
        </w:tc>
        <w:tc>
          <w:tcPr>
            <w:tcW w:w="3119" w:type="dxa"/>
            <w:vAlign w:val="center"/>
          </w:tcPr>
          <w:p w:rsidR="006954E4" w:rsidRDefault="0014168C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6954E4">
              <w:rPr>
                <w:color w:val="000000"/>
                <w:sz w:val="26"/>
                <w:szCs w:val="26"/>
              </w:rPr>
              <w:t>.04.2022 г.</w:t>
            </w:r>
          </w:p>
        </w:tc>
      </w:tr>
      <w:tr w:rsidR="006954E4" w:rsidTr="00B90583">
        <w:tc>
          <w:tcPr>
            <w:tcW w:w="3544" w:type="dxa"/>
          </w:tcPr>
          <w:p w:rsidR="006954E4" w:rsidRDefault="006954E4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6954E4" w:rsidRDefault="006954E4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0</w:t>
            </w:r>
            <w:r w:rsidR="0014168C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.07.2022 г.)</w:t>
            </w:r>
          </w:p>
        </w:tc>
        <w:tc>
          <w:tcPr>
            <w:tcW w:w="3119" w:type="dxa"/>
            <w:vAlign w:val="center"/>
          </w:tcPr>
          <w:p w:rsidR="006954E4" w:rsidRDefault="0014168C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6954E4">
              <w:rPr>
                <w:color w:val="000000"/>
                <w:sz w:val="26"/>
                <w:szCs w:val="26"/>
              </w:rPr>
              <w:t>.07.2022 г.</w:t>
            </w:r>
          </w:p>
        </w:tc>
        <w:tc>
          <w:tcPr>
            <w:tcW w:w="3119" w:type="dxa"/>
            <w:vAlign w:val="center"/>
          </w:tcPr>
          <w:p w:rsidR="006954E4" w:rsidRDefault="0014168C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6954E4">
              <w:rPr>
                <w:color w:val="000000"/>
                <w:sz w:val="26"/>
                <w:szCs w:val="26"/>
              </w:rPr>
              <w:t>.07.2022 г.</w:t>
            </w:r>
          </w:p>
        </w:tc>
      </w:tr>
      <w:tr w:rsidR="006954E4" w:rsidTr="00B90583">
        <w:tc>
          <w:tcPr>
            <w:tcW w:w="3544" w:type="dxa"/>
          </w:tcPr>
          <w:p w:rsidR="006954E4" w:rsidRDefault="006954E4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6954E4" w:rsidRDefault="0014168C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14</w:t>
            </w:r>
            <w:r w:rsidR="006954E4">
              <w:rPr>
                <w:color w:val="000000"/>
                <w:sz w:val="26"/>
                <w:szCs w:val="26"/>
              </w:rPr>
              <w:t>.09.2022 г.)</w:t>
            </w:r>
          </w:p>
        </w:tc>
        <w:tc>
          <w:tcPr>
            <w:tcW w:w="3119" w:type="dxa"/>
            <w:vAlign w:val="center"/>
          </w:tcPr>
          <w:p w:rsidR="006954E4" w:rsidRDefault="006954E4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14168C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.10.2022 г.</w:t>
            </w:r>
          </w:p>
        </w:tc>
        <w:tc>
          <w:tcPr>
            <w:tcW w:w="3119" w:type="dxa"/>
            <w:vAlign w:val="center"/>
          </w:tcPr>
          <w:p w:rsidR="006954E4" w:rsidRDefault="0014168C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6954E4">
              <w:rPr>
                <w:color w:val="000000"/>
                <w:sz w:val="26"/>
                <w:szCs w:val="26"/>
              </w:rPr>
              <w:t>.10.2022 г.</w:t>
            </w:r>
          </w:p>
        </w:tc>
      </w:tr>
      <w:tr w:rsidR="006954E4" w:rsidTr="00B90583">
        <w:tc>
          <w:tcPr>
            <w:tcW w:w="3544" w:type="dxa"/>
          </w:tcPr>
          <w:p w:rsidR="006954E4" w:rsidRDefault="006954E4" w:rsidP="00B905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6954E4" w:rsidRDefault="006954E4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14168C">
              <w:rPr>
                <w:color w:val="000000"/>
                <w:sz w:val="26"/>
                <w:szCs w:val="26"/>
              </w:rPr>
              <w:t>17</w:t>
            </w:r>
            <w:r>
              <w:rPr>
                <w:color w:val="000000"/>
                <w:sz w:val="26"/>
                <w:szCs w:val="26"/>
              </w:rPr>
              <w:t>.01.2023 г.)</w:t>
            </w:r>
          </w:p>
        </w:tc>
        <w:tc>
          <w:tcPr>
            <w:tcW w:w="3119" w:type="dxa"/>
            <w:vAlign w:val="center"/>
          </w:tcPr>
          <w:p w:rsidR="006954E4" w:rsidRDefault="0014168C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6954E4">
              <w:rPr>
                <w:color w:val="000000"/>
                <w:sz w:val="26"/>
                <w:szCs w:val="26"/>
              </w:rPr>
              <w:t>.01.2023 г.</w:t>
            </w:r>
          </w:p>
        </w:tc>
        <w:tc>
          <w:tcPr>
            <w:tcW w:w="3119" w:type="dxa"/>
            <w:vAlign w:val="center"/>
          </w:tcPr>
          <w:p w:rsidR="006954E4" w:rsidRDefault="0014168C" w:rsidP="001416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6954E4">
              <w:rPr>
                <w:color w:val="000000"/>
                <w:sz w:val="26"/>
                <w:szCs w:val="26"/>
              </w:rPr>
              <w:t>.01.2023 г.</w:t>
            </w:r>
          </w:p>
        </w:tc>
      </w:tr>
    </w:tbl>
    <w:p w:rsidR="006954E4" w:rsidRDefault="006954E4" w:rsidP="006954E4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4168C" w:rsidRDefault="0014168C" w:rsidP="0014168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 ранее приведенных данных видно, что отчеты размещены в сети Интернет в сроки соответствующие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Приказ</w:t>
      </w:r>
      <w:r>
        <w:rPr>
          <w:rFonts w:eastAsia="Calibri"/>
          <w:sz w:val="26"/>
          <w:szCs w:val="26"/>
        </w:rPr>
        <w:t>у</w:t>
      </w:r>
      <w:r w:rsidRPr="00AC257B">
        <w:rPr>
          <w:rFonts w:eastAsia="Calibri"/>
          <w:sz w:val="26"/>
          <w:szCs w:val="26"/>
        </w:rPr>
        <w:t xml:space="preserve">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rFonts w:eastAsia="Calibri"/>
          <w:sz w:val="26"/>
          <w:szCs w:val="26"/>
        </w:rPr>
        <w:t xml:space="preserve"> и Постановлению 739.</w:t>
      </w:r>
    </w:p>
    <w:p w:rsidR="006F75AC" w:rsidRDefault="006F75AC" w:rsidP="006F75AC">
      <w:pPr>
        <w:ind w:firstLine="709"/>
        <w:jc w:val="both"/>
        <w:rPr>
          <w:sz w:val="26"/>
          <w:szCs w:val="26"/>
        </w:rPr>
      </w:pPr>
    </w:p>
    <w:p w:rsidR="006F75AC" w:rsidRDefault="006F75AC" w:rsidP="006F75AC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2B49E1" w:rsidRPr="001C2DCA" w:rsidRDefault="002B49E1" w:rsidP="006F75AC">
      <w:pPr>
        <w:ind w:firstLine="709"/>
        <w:jc w:val="both"/>
        <w:rPr>
          <w:b/>
          <w:sz w:val="26"/>
          <w:szCs w:val="26"/>
        </w:rPr>
      </w:pPr>
    </w:p>
    <w:p w:rsidR="00F979E7" w:rsidRDefault="00F979E7" w:rsidP="00F979E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 xml:space="preserve">уникальный номер реестровой записи из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я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(804200О.99.0.ББ52АЕ52000), которому соответствует один показатель</w:t>
      </w:r>
      <w:r>
        <w:rPr>
          <w:sz w:val="26"/>
          <w:szCs w:val="26"/>
        </w:rPr>
        <w:t>, характеризующий</w:t>
      </w:r>
      <w:r w:rsidRPr="001C2DCA">
        <w:rPr>
          <w:sz w:val="26"/>
          <w:szCs w:val="26"/>
        </w:rPr>
        <w:t xml:space="preserve"> объем оказываемой муниципальной услуги</w:t>
      </w:r>
      <w:r>
        <w:rPr>
          <w:sz w:val="26"/>
          <w:szCs w:val="26"/>
        </w:rPr>
        <w:t>. З</w:t>
      </w:r>
      <w:r w:rsidRPr="001C2DCA">
        <w:rPr>
          <w:sz w:val="26"/>
          <w:szCs w:val="26"/>
        </w:rPr>
        <w:t>начени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м явля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 xml:space="preserve">тся </w:t>
      </w:r>
      <w:r>
        <w:rPr>
          <w:sz w:val="26"/>
          <w:szCs w:val="26"/>
        </w:rPr>
        <w:t>к</w:t>
      </w:r>
      <w:r w:rsidRPr="00F979E7">
        <w:rPr>
          <w:sz w:val="26"/>
          <w:szCs w:val="26"/>
        </w:rPr>
        <w:t>оличество человеко-часов</w:t>
      </w:r>
      <w:r>
        <w:rPr>
          <w:sz w:val="26"/>
          <w:szCs w:val="26"/>
        </w:rPr>
        <w:t xml:space="preserve">. </w:t>
      </w:r>
    </w:p>
    <w:p w:rsidR="00F979E7" w:rsidRDefault="00F979E7" w:rsidP="00F979E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 xml:space="preserve">Данные в показателе, характеризующем содержание муниципальной услуги, как и показателе, характеризующем условия (формы) оказания муниципальной услуги </w:t>
      </w:r>
      <w:r w:rsidRPr="00173FD9">
        <w:rPr>
          <w:b/>
          <w:sz w:val="26"/>
          <w:szCs w:val="26"/>
        </w:rPr>
        <w:t>не соответствуют</w:t>
      </w:r>
      <w:r>
        <w:rPr>
          <w:sz w:val="26"/>
          <w:szCs w:val="26"/>
        </w:rPr>
        <w:t xml:space="preserve">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ю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F979E7" w:rsidRDefault="00F979E7" w:rsidP="00F979E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Финансовое обеспечение учреждения в динамике представлено в таблице:</w:t>
      </w:r>
    </w:p>
    <w:p w:rsidR="00F979E7" w:rsidRDefault="00F979E7" w:rsidP="00F979E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AE589E" w:rsidRDefault="00AE589E" w:rsidP="00F979E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AE589E" w:rsidRDefault="00AE589E" w:rsidP="00F979E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AE589E" w:rsidRDefault="00AE589E" w:rsidP="00F979E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F979E7" w:rsidRDefault="00F979E7" w:rsidP="00F979E7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lastRenderedPageBreak/>
        <w:t>руб.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93"/>
        <w:gridCol w:w="1893"/>
        <w:gridCol w:w="2592"/>
        <w:gridCol w:w="1985"/>
      </w:tblGrid>
      <w:tr w:rsidR="00F979E7" w:rsidRPr="00DA5C5A" w:rsidTr="008378C4">
        <w:tc>
          <w:tcPr>
            <w:tcW w:w="1101" w:type="dxa"/>
            <w:vAlign w:val="center"/>
          </w:tcPr>
          <w:p w:rsidR="00F979E7" w:rsidRPr="00C90C16" w:rsidRDefault="00F979E7" w:rsidP="008378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893" w:type="dxa"/>
            <w:vAlign w:val="center"/>
          </w:tcPr>
          <w:p w:rsidR="00F979E7" w:rsidRPr="00C90C16" w:rsidRDefault="00F979E7" w:rsidP="008378C4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план</w:t>
            </w:r>
          </w:p>
        </w:tc>
        <w:tc>
          <w:tcPr>
            <w:tcW w:w="1893" w:type="dxa"/>
            <w:vAlign w:val="center"/>
          </w:tcPr>
          <w:p w:rsidR="00F979E7" w:rsidRPr="00C90C16" w:rsidRDefault="00F979E7" w:rsidP="008378C4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факт</w:t>
            </w:r>
          </w:p>
        </w:tc>
        <w:tc>
          <w:tcPr>
            <w:tcW w:w="2592" w:type="dxa"/>
            <w:vAlign w:val="center"/>
          </w:tcPr>
          <w:p w:rsidR="00F979E7" w:rsidRPr="00C90C16" w:rsidRDefault="00F979E7" w:rsidP="008378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Средний размер платы за 1</w:t>
            </w:r>
          </w:p>
          <w:p w:rsidR="00F979E7" w:rsidRPr="00C90C16" w:rsidRDefault="00F979E7" w:rsidP="008378C4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воспитанника</w:t>
            </w:r>
          </w:p>
        </w:tc>
        <w:tc>
          <w:tcPr>
            <w:tcW w:w="1985" w:type="dxa"/>
            <w:vAlign w:val="center"/>
          </w:tcPr>
          <w:p w:rsidR="00F979E7" w:rsidRPr="00C90C16" w:rsidRDefault="00F979E7" w:rsidP="008378C4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Субсидия на выполнение МЗ</w:t>
            </w:r>
          </w:p>
        </w:tc>
      </w:tr>
      <w:tr w:rsidR="00AE589E" w:rsidRPr="0011725D" w:rsidTr="008378C4">
        <w:tc>
          <w:tcPr>
            <w:tcW w:w="1101" w:type="dxa"/>
          </w:tcPr>
          <w:p w:rsidR="00AE589E" w:rsidRPr="00C90C16" w:rsidRDefault="00AE589E" w:rsidP="008378C4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93" w:type="dxa"/>
          </w:tcPr>
          <w:p w:rsidR="00AE589E" w:rsidRDefault="00AE589E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1893" w:type="dxa"/>
          </w:tcPr>
          <w:p w:rsidR="00AE589E" w:rsidRDefault="00AE589E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2592" w:type="dxa"/>
          </w:tcPr>
          <w:p w:rsidR="00AE589E" w:rsidRDefault="00AE589E" w:rsidP="00AE58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18 116,07</w:t>
            </w:r>
          </w:p>
        </w:tc>
        <w:tc>
          <w:tcPr>
            <w:tcW w:w="1985" w:type="dxa"/>
            <w:vAlign w:val="bottom"/>
          </w:tcPr>
          <w:p w:rsidR="00AE589E" w:rsidRPr="00C90C16" w:rsidRDefault="00862252" w:rsidP="008378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8 568 902,46</w:t>
            </w:r>
          </w:p>
        </w:tc>
      </w:tr>
      <w:tr w:rsidR="00AE589E" w:rsidRPr="0011725D" w:rsidTr="008378C4">
        <w:tc>
          <w:tcPr>
            <w:tcW w:w="1101" w:type="dxa"/>
          </w:tcPr>
          <w:p w:rsidR="00AE589E" w:rsidRPr="00C90C16" w:rsidRDefault="00AE589E" w:rsidP="008378C4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93" w:type="dxa"/>
          </w:tcPr>
          <w:p w:rsidR="00AE589E" w:rsidRDefault="00AE589E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893" w:type="dxa"/>
          </w:tcPr>
          <w:p w:rsidR="00AE589E" w:rsidRDefault="00AE589E" w:rsidP="008378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2592" w:type="dxa"/>
          </w:tcPr>
          <w:p w:rsidR="00AE589E" w:rsidRDefault="00AE589E" w:rsidP="00AE58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20 938,17</w:t>
            </w:r>
          </w:p>
        </w:tc>
        <w:tc>
          <w:tcPr>
            <w:tcW w:w="1985" w:type="dxa"/>
            <w:vAlign w:val="bottom"/>
          </w:tcPr>
          <w:p w:rsidR="00AE589E" w:rsidRPr="00C90C16" w:rsidRDefault="00862252" w:rsidP="008622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8 668 403,55</w:t>
            </w:r>
          </w:p>
        </w:tc>
      </w:tr>
      <w:tr w:rsidR="00F979E7" w:rsidRPr="0011725D" w:rsidTr="008378C4">
        <w:tc>
          <w:tcPr>
            <w:tcW w:w="1101" w:type="dxa"/>
          </w:tcPr>
          <w:p w:rsidR="00F979E7" w:rsidRPr="00C90C16" w:rsidRDefault="00F979E7" w:rsidP="008378C4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93" w:type="dxa"/>
            <w:vAlign w:val="bottom"/>
          </w:tcPr>
          <w:p w:rsidR="00F979E7" w:rsidRPr="00C90C16" w:rsidRDefault="00AE589E" w:rsidP="008378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893" w:type="dxa"/>
            <w:vAlign w:val="bottom"/>
          </w:tcPr>
          <w:p w:rsidR="00F979E7" w:rsidRPr="00C90C16" w:rsidRDefault="00AE589E" w:rsidP="008378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2592" w:type="dxa"/>
            <w:vAlign w:val="bottom"/>
          </w:tcPr>
          <w:p w:rsidR="00F979E7" w:rsidRPr="003C1D96" w:rsidRDefault="00AE589E" w:rsidP="008378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1D96">
              <w:rPr>
                <w:b/>
                <w:color w:val="000000"/>
                <w:sz w:val="26"/>
                <w:szCs w:val="26"/>
              </w:rPr>
              <w:t>15 625,81</w:t>
            </w:r>
          </w:p>
        </w:tc>
        <w:tc>
          <w:tcPr>
            <w:tcW w:w="1985" w:type="dxa"/>
            <w:vAlign w:val="bottom"/>
          </w:tcPr>
          <w:p w:rsidR="00F979E7" w:rsidRPr="00C90C16" w:rsidRDefault="00862252" w:rsidP="008378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8 937 961,04</w:t>
            </w:r>
          </w:p>
        </w:tc>
      </w:tr>
    </w:tbl>
    <w:p w:rsidR="0098234D" w:rsidRPr="0098234D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3C1D96" w:rsidRDefault="003C1D96" w:rsidP="003C1D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C1D96">
        <w:rPr>
          <w:sz w:val="26"/>
          <w:szCs w:val="26"/>
          <w:lang w:eastAsia="ru-RU"/>
        </w:rPr>
        <w:t xml:space="preserve">Средний размер платы (цена, тариф) показателя объема муниципальной услуги рассчитан </w:t>
      </w:r>
      <w:r w:rsidRPr="003C1D96">
        <w:rPr>
          <w:b/>
          <w:sz w:val="26"/>
          <w:szCs w:val="26"/>
          <w:lang w:eastAsia="ru-RU"/>
        </w:rPr>
        <w:t>неверно</w:t>
      </w:r>
      <w:r w:rsidRPr="003C1D96">
        <w:rPr>
          <w:sz w:val="26"/>
          <w:szCs w:val="26"/>
          <w:lang w:eastAsia="ru-RU"/>
        </w:rPr>
        <w:t xml:space="preserve">. Ввиду </w:t>
      </w:r>
      <w:r>
        <w:rPr>
          <w:sz w:val="26"/>
          <w:szCs w:val="26"/>
          <w:lang w:eastAsia="ru-RU"/>
        </w:rPr>
        <w:t>данной ошибки</w:t>
      </w:r>
      <w:r w:rsidRPr="003C1D96">
        <w:rPr>
          <w:sz w:val="26"/>
          <w:szCs w:val="26"/>
          <w:lang w:eastAsia="ru-RU"/>
        </w:rPr>
        <w:t xml:space="preserve"> </w:t>
      </w:r>
      <w:r w:rsidRPr="003C1D96">
        <w:rPr>
          <w:b/>
          <w:sz w:val="26"/>
          <w:szCs w:val="26"/>
          <w:lang w:eastAsia="ru-RU"/>
        </w:rPr>
        <w:t>невозможно</w:t>
      </w:r>
      <w:r w:rsidRPr="003C1D96">
        <w:rPr>
          <w:sz w:val="26"/>
          <w:szCs w:val="26"/>
          <w:lang w:eastAsia="ru-RU"/>
        </w:rPr>
        <w:t xml:space="preserve"> проанализировать данные отчета.</w:t>
      </w:r>
    </w:p>
    <w:p w:rsidR="003C1D96" w:rsidRPr="003C1D96" w:rsidRDefault="003C1D96" w:rsidP="003C1D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0D0E22" w:rsidRPr="000D0E22" w:rsidRDefault="000D0E22" w:rsidP="000D0E2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D0E22">
        <w:rPr>
          <w:sz w:val="26"/>
          <w:szCs w:val="26"/>
          <w:lang w:eastAsia="ru-RU"/>
        </w:rPr>
        <w:t xml:space="preserve">Проанализировав ф. 0503737 </w:t>
      </w:r>
      <w:bookmarkStart w:id="0" w:name="_GoBack"/>
      <w:bookmarkEnd w:id="0"/>
      <w:r w:rsidRPr="000D0E22">
        <w:rPr>
          <w:sz w:val="26"/>
          <w:szCs w:val="26"/>
          <w:lang w:eastAsia="ru-RU"/>
        </w:rPr>
        <w:t>за 2021 и 2022 годы установлено увеличение расходов на 269,56 тыс. руб., а именно:</w:t>
      </w:r>
    </w:p>
    <w:p w:rsidR="006F1AFA" w:rsidRDefault="006F1AFA" w:rsidP="002749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57" w:type="dxa"/>
        <w:tblInd w:w="93" w:type="dxa"/>
        <w:tblLook w:val="04A0" w:firstRow="1" w:lastRow="0" w:firstColumn="1" w:lastColumn="0" w:noHBand="0" w:noVBand="1"/>
      </w:tblPr>
      <w:tblGrid>
        <w:gridCol w:w="3417"/>
        <w:gridCol w:w="1374"/>
        <w:gridCol w:w="1320"/>
        <w:gridCol w:w="1226"/>
        <w:gridCol w:w="2020"/>
      </w:tblGrid>
      <w:tr w:rsidR="000D0E22" w:rsidTr="000D0E22">
        <w:trPr>
          <w:trHeight w:val="67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0D0E22" w:rsidTr="000D0E22">
        <w:trPr>
          <w:trHeight w:val="31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</w:p>
        </w:tc>
      </w:tr>
      <w:tr w:rsidR="000D0E22" w:rsidTr="000D0E22">
        <w:trPr>
          <w:trHeight w:val="34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</w:p>
        </w:tc>
      </w:tr>
      <w:tr w:rsidR="000D0E22" w:rsidTr="000D0E22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8 668,40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8 937,96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+269,56</w:t>
            </w:r>
          </w:p>
        </w:tc>
      </w:tr>
      <w:tr w:rsidR="000D0E22" w:rsidTr="000D0E22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7 806,72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7 549,57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-257,15</w:t>
            </w:r>
          </w:p>
        </w:tc>
      </w:tr>
      <w:tr w:rsidR="000D0E22" w:rsidTr="000D0E22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Заработная плата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5 998,43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5 752,83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-245,60</w:t>
            </w:r>
          </w:p>
        </w:tc>
      </w:tr>
      <w:tr w:rsidR="000D0E22" w:rsidTr="000D0E22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Взносы по обязательному социальному страхованию и иные выплаты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1 808,29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1 796,74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-11,55</w:t>
            </w:r>
          </w:p>
        </w:tc>
      </w:tr>
      <w:tr w:rsidR="000D0E22" w:rsidTr="000D0E22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847,69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+140,39</w:t>
            </w:r>
          </w:p>
        </w:tc>
      </w:tr>
      <w:tr w:rsidR="000D0E22" w:rsidTr="000D0E22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E22" w:rsidRDefault="000D0E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540,70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E22" w:rsidRDefault="000D0E2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+386,32</w:t>
            </w:r>
          </w:p>
        </w:tc>
      </w:tr>
    </w:tbl>
    <w:p w:rsidR="00E736AD" w:rsidRDefault="00E736AD" w:rsidP="006B5C1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0D0E22" w:rsidRPr="000D0E22" w:rsidRDefault="000D0E22" w:rsidP="000D0E2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0E22">
        <w:rPr>
          <w:sz w:val="26"/>
          <w:szCs w:val="26"/>
        </w:rPr>
        <w:t xml:space="preserve">Изменение расходов по муниципальной услуге произошло преимущественно </w:t>
      </w:r>
      <w:proofErr w:type="gramStart"/>
      <w:r w:rsidRPr="000D0E22">
        <w:rPr>
          <w:sz w:val="26"/>
          <w:szCs w:val="26"/>
        </w:rPr>
        <w:t>из-за</w:t>
      </w:r>
      <w:proofErr w:type="gramEnd"/>
      <w:r w:rsidRPr="000D0E22">
        <w:rPr>
          <w:sz w:val="26"/>
          <w:szCs w:val="26"/>
        </w:rPr>
        <w:t>:</w:t>
      </w:r>
    </w:p>
    <w:p w:rsidR="000D0E22" w:rsidRPr="00CB2525" w:rsidRDefault="000D0E22" w:rsidP="00CB2525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2525">
        <w:rPr>
          <w:sz w:val="26"/>
          <w:szCs w:val="26"/>
        </w:rPr>
        <w:t xml:space="preserve">снижения выплат по заработной плате работникам на </w:t>
      </w:r>
      <w:r w:rsidR="003F4286" w:rsidRPr="00CB2525">
        <w:rPr>
          <w:sz w:val="26"/>
          <w:szCs w:val="26"/>
        </w:rPr>
        <w:t>257,15</w:t>
      </w:r>
      <w:r w:rsidRPr="00CB2525">
        <w:rPr>
          <w:sz w:val="26"/>
          <w:szCs w:val="26"/>
        </w:rPr>
        <w:t xml:space="preserve"> тыс. руб. или на </w:t>
      </w:r>
      <w:r w:rsidR="003F4286" w:rsidRPr="00CB2525">
        <w:rPr>
          <w:sz w:val="26"/>
          <w:szCs w:val="26"/>
        </w:rPr>
        <w:t>3,3</w:t>
      </w:r>
      <w:r w:rsidRPr="00CB2525">
        <w:rPr>
          <w:sz w:val="26"/>
          <w:szCs w:val="26"/>
        </w:rPr>
        <w:t xml:space="preserve"> % ввиду сокращения </w:t>
      </w:r>
      <w:r w:rsidR="003F4286" w:rsidRPr="00CB2525">
        <w:rPr>
          <w:sz w:val="26"/>
          <w:szCs w:val="26"/>
        </w:rPr>
        <w:t>педагогов дополнительного образования</w:t>
      </w:r>
      <w:r w:rsidRPr="00CB2525">
        <w:rPr>
          <w:sz w:val="26"/>
          <w:szCs w:val="26"/>
        </w:rPr>
        <w:t xml:space="preserve"> (1,5 ставки);</w:t>
      </w:r>
    </w:p>
    <w:p w:rsidR="00CB2525" w:rsidRDefault="000D0E22" w:rsidP="00CB2525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2525">
        <w:rPr>
          <w:sz w:val="26"/>
          <w:szCs w:val="26"/>
        </w:rPr>
        <w:t>увеличени</w:t>
      </w:r>
      <w:r w:rsidR="00CB2525">
        <w:rPr>
          <w:sz w:val="26"/>
          <w:szCs w:val="26"/>
        </w:rPr>
        <w:t>я</w:t>
      </w:r>
      <w:r w:rsidRPr="00CB2525">
        <w:rPr>
          <w:sz w:val="26"/>
          <w:szCs w:val="26"/>
        </w:rPr>
        <w:t xml:space="preserve"> расходов на закупку товаров, работ, услуг на </w:t>
      </w:r>
      <w:r w:rsidR="00CB2525">
        <w:rPr>
          <w:sz w:val="26"/>
          <w:szCs w:val="26"/>
        </w:rPr>
        <w:t>140,39</w:t>
      </w:r>
      <w:r w:rsidRPr="00CB2525">
        <w:rPr>
          <w:sz w:val="26"/>
          <w:szCs w:val="26"/>
        </w:rPr>
        <w:t xml:space="preserve"> тыс. руб. или на </w:t>
      </w:r>
      <w:r w:rsidR="00CB2525">
        <w:rPr>
          <w:sz w:val="26"/>
          <w:szCs w:val="26"/>
        </w:rPr>
        <w:t>19,85</w:t>
      </w:r>
      <w:r w:rsidRPr="00CB2525">
        <w:rPr>
          <w:sz w:val="26"/>
          <w:szCs w:val="26"/>
        </w:rPr>
        <w:t xml:space="preserve"> % в связи с </w:t>
      </w:r>
      <w:r w:rsidR="00CB2525">
        <w:rPr>
          <w:sz w:val="26"/>
          <w:szCs w:val="26"/>
        </w:rPr>
        <w:t>повышением тарифов по коммунальным услугам;</w:t>
      </w:r>
    </w:p>
    <w:p w:rsidR="00CB2525" w:rsidRPr="00CB2525" w:rsidRDefault="00CB2525" w:rsidP="00CB2525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роста </w:t>
      </w:r>
      <w:r>
        <w:rPr>
          <w:color w:val="000000"/>
          <w:sz w:val="26"/>
          <w:szCs w:val="26"/>
        </w:rPr>
        <w:t>налогов, сборов и иных платежей</w:t>
      </w:r>
      <w:r w:rsidRPr="00CB2525">
        <w:rPr>
          <w:sz w:val="26"/>
          <w:szCs w:val="26"/>
        </w:rPr>
        <w:t xml:space="preserve"> на </w:t>
      </w:r>
      <w:r>
        <w:rPr>
          <w:sz w:val="26"/>
          <w:szCs w:val="26"/>
        </w:rPr>
        <w:t>386,32 тыс. руб. или на 250,24</w:t>
      </w:r>
      <w:r w:rsidRPr="00CB2525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</w:t>
      </w:r>
      <w:r w:rsidRPr="00CB2525">
        <w:rPr>
          <w:sz w:val="26"/>
          <w:szCs w:val="26"/>
        </w:rPr>
        <w:t>в связи с отменой льгот по уплате земельного налога.</w:t>
      </w:r>
    </w:p>
    <w:p w:rsidR="00CB2525" w:rsidRPr="00CB2525" w:rsidRDefault="00CB2525" w:rsidP="00CB252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3E97" w:rsidRPr="007C167C" w:rsidRDefault="004C3E97" w:rsidP="004C3E97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4C3E97" w:rsidRDefault="004C3E97" w:rsidP="004C3E97">
      <w:pPr>
        <w:ind w:firstLine="709"/>
        <w:jc w:val="both"/>
        <w:rPr>
          <w:sz w:val="26"/>
          <w:szCs w:val="26"/>
        </w:rPr>
      </w:pPr>
    </w:p>
    <w:p w:rsidR="008D76BE" w:rsidRPr="008D76BE" w:rsidRDefault="008D76BE" w:rsidP="008D76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BE"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</w:t>
      </w:r>
      <w:r w:rsidRPr="008D76BE">
        <w:rPr>
          <w:sz w:val="26"/>
          <w:szCs w:val="26"/>
        </w:rPr>
        <w:lastRenderedPageBreak/>
        <w:t xml:space="preserve">предполагаемые потребности потребителей услуги. Учреждение разместило 4 показателя, характеризующих качество оказываемой муниципальной услуги по реализации основных общеобразовательных программ среднего общего образования: </w:t>
      </w:r>
    </w:p>
    <w:p w:rsidR="0098234D" w:rsidRPr="0098234D" w:rsidRDefault="0098234D" w:rsidP="0098234D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</w:rPr>
        <w:t xml:space="preserve">Доля детей, осваивающих </w:t>
      </w:r>
      <w:proofErr w:type="gramStart"/>
      <w:r w:rsidRPr="0098234D">
        <w:rPr>
          <w:sz w:val="26"/>
          <w:szCs w:val="26"/>
        </w:rPr>
        <w:t>дополнительные</w:t>
      </w:r>
      <w:proofErr w:type="gramEnd"/>
      <w:r w:rsidR="007F67BC">
        <w:rPr>
          <w:sz w:val="26"/>
          <w:szCs w:val="26"/>
        </w:rPr>
        <w:t xml:space="preserve"> образовательные</w:t>
      </w:r>
      <w:r w:rsidRPr="0098234D">
        <w:rPr>
          <w:sz w:val="26"/>
          <w:szCs w:val="26"/>
        </w:rPr>
        <w:t xml:space="preserve"> программы в образовательном учреждении</w:t>
      </w:r>
      <w:r w:rsidRPr="0098234D">
        <w:rPr>
          <w:sz w:val="26"/>
          <w:szCs w:val="26"/>
          <w:lang w:eastAsia="ru-RU"/>
        </w:rPr>
        <w:t xml:space="preserve"> – исполнение </w:t>
      </w:r>
      <w:r w:rsidR="008D76BE">
        <w:rPr>
          <w:sz w:val="26"/>
          <w:szCs w:val="26"/>
          <w:lang w:eastAsia="ru-RU"/>
        </w:rPr>
        <w:t>84</w:t>
      </w:r>
      <w:r w:rsidR="002960EF">
        <w:rPr>
          <w:sz w:val="26"/>
          <w:szCs w:val="26"/>
          <w:lang w:eastAsia="ru-RU"/>
        </w:rPr>
        <w:t xml:space="preserve"> </w:t>
      </w:r>
      <w:r w:rsidRPr="0098234D">
        <w:rPr>
          <w:sz w:val="26"/>
          <w:szCs w:val="26"/>
          <w:lang w:eastAsia="ru-RU"/>
        </w:rPr>
        <w:t xml:space="preserve">% при плане </w:t>
      </w:r>
      <w:r w:rsidR="002960EF">
        <w:rPr>
          <w:sz w:val="26"/>
          <w:szCs w:val="26"/>
          <w:lang w:eastAsia="ru-RU"/>
        </w:rPr>
        <w:t>8</w:t>
      </w:r>
      <w:r w:rsidR="004C3E97">
        <w:rPr>
          <w:sz w:val="26"/>
          <w:szCs w:val="26"/>
          <w:lang w:eastAsia="ru-RU"/>
        </w:rPr>
        <w:t>0</w:t>
      </w:r>
      <w:r w:rsidR="002960EF">
        <w:rPr>
          <w:sz w:val="26"/>
          <w:szCs w:val="26"/>
          <w:lang w:eastAsia="ru-RU"/>
        </w:rPr>
        <w:t xml:space="preserve"> </w:t>
      </w:r>
      <w:r w:rsidRPr="0098234D">
        <w:rPr>
          <w:sz w:val="26"/>
          <w:szCs w:val="26"/>
          <w:lang w:eastAsia="ru-RU"/>
        </w:rPr>
        <w:t>%;</w:t>
      </w:r>
    </w:p>
    <w:p w:rsidR="0098234D" w:rsidRPr="0098234D" w:rsidRDefault="0098234D" w:rsidP="0098234D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 xml:space="preserve">Доля детей, ставших победителями </w:t>
      </w:r>
      <w:r w:rsidR="007F67BC">
        <w:rPr>
          <w:sz w:val="26"/>
          <w:szCs w:val="26"/>
          <w:lang w:eastAsia="ru-RU"/>
        </w:rPr>
        <w:t>в соревнованиях различного уровня</w:t>
      </w:r>
      <w:r w:rsidRPr="0098234D">
        <w:rPr>
          <w:sz w:val="26"/>
          <w:szCs w:val="26"/>
          <w:lang w:eastAsia="ru-RU"/>
        </w:rPr>
        <w:t xml:space="preserve"> – исполнение </w:t>
      </w:r>
      <w:r w:rsidR="007F67BC">
        <w:rPr>
          <w:sz w:val="26"/>
          <w:szCs w:val="26"/>
          <w:lang w:eastAsia="ru-RU"/>
        </w:rPr>
        <w:t>8</w:t>
      </w:r>
      <w:r w:rsidR="008D76BE">
        <w:rPr>
          <w:sz w:val="26"/>
          <w:szCs w:val="26"/>
          <w:lang w:eastAsia="ru-RU"/>
        </w:rPr>
        <w:t>3</w:t>
      </w:r>
      <w:r w:rsidRPr="0098234D">
        <w:rPr>
          <w:sz w:val="26"/>
          <w:szCs w:val="26"/>
          <w:lang w:eastAsia="ru-RU"/>
        </w:rPr>
        <w:t xml:space="preserve"> % при плане 8</w:t>
      </w:r>
      <w:r w:rsidR="00CE0620">
        <w:rPr>
          <w:sz w:val="26"/>
          <w:szCs w:val="26"/>
          <w:lang w:eastAsia="ru-RU"/>
        </w:rPr>
        <w:t>7</w:t>
      </w:r>
      <w:r w:rsidRPr="0098234D">
        <w:rPr>
          <w:sz w:val="26"/>
          <w:szCs w:val="26"/>
          <w:lang w:eastAsia="ru-RU"/>
        </w:rPr>
        <w:t xml:space="preserve"> %;</w:t>
      </w:r>
    </w:p>
    <w:p w:rsidR="0098234D" w:rsidRDefault="0098234D" w:rsidP="0098234D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</w:rPr>
        <w:t>Доля родителей (законных представителей), удовлетворенных</w:t>
      </w:r>
      <w:r w:rsidR="00CE0620">
        <w:rPr>
          <w:sz w:val="26"/>
          <w:szCs w:val="26"/>
        </w:rPr>
        <w:t xml:space="preserve"> качеством и</w:t>
      </w:r>
      <w:r w:rsidRPr="0098234D">
        <w:rPr>
          <w:sz w:val="26"/>
          <w:szCs w:val="26"/>
        </w:rPr>
        <w:t xml:space="preserve"> условиями предоставл</w:t>
      </w:r>
      <w:r w:rsidR="00CE0620">
        <w:rPr>
          <w:sz w:val="26"/>
          <w:szCs w:val="26"/>
        </w:rPr>
        <w:t>яемой</w:t>
      </w:r>
      <w:r w:rsidRPr="0098234D">
        <w:rPr>
          <w:sz w:val="26"/>
          <w:szCs w:val="26"/>
        </w:rPr>
        <w:t xml:space="preserve"> </w:t>
      </w:r>
      <w:r w:rsidR="00CE0620">
        <w:rPr>
          <w:sz w:val="26"/>
          <w:szCs w:val="26"/>
        </w:rPr>
        <w:t>образовательной</w:t>
      </w:r>
      <w:r w:rsidRPr="0098234D">
        <w:rPr>
          <w:sz w:val="26"/>
          <w:szCs w:val="26"/>
        </w:rPr>
        <w:t xml:space="preserve"> услуги</w:t>
      </w:r>
      <w:r w:rsidRPr="0098234D">
        <w:rPr>
          <w:sz w:val="26"/>
          <w:szCs w:val="26"/>
          <w:lang w:eastAsia="ru-RU"/>
        </w:rPr>
        <w:t xml:space="preserve"> – исполнение 95</w:t>
      </w:r>
      <w:r w:rsidR="002960EF">
        <w:rPr>
          <w:sz w:val="26"/>
          <w:szCs w:val="26"/>
          <w:lang w:eastAsia="ru-RU"/>
        </w:rPr>
        <w:t xml:space="preserve"> </w:t>
      </w:r>
      <w:r w:rsidRPr="0098234D">
        <w:rPr>
          <w:sz w:val="26"/>
          <w:szCs w:val="26"/>
          <w:lang w:eastAsia="ru-RU"/>
        </w:rPr>
        <w:t xml:space="preserve">% при плане </w:t>
      </w:r>
      <w:r w:rsidR="007F67BC">
        <w:rPr>
          <w:sz w:val="26"/>
          <w:szCs w:val="26"/>
          <w:lang w:eastAsia="ru-RU"/>
        </w:rPr>
        <w:t>9</w:t>
      </w:r>
      <w:r w:rsidR="00CC72D5">
        <w:rPr>
          <w:sz w:val="26"/>
          <w:szCs w:val="26"/>
          <w:lang w:eastAsia="ru-RU"/>
        </w:rPr>
        <w:t>5</w:t>
      </w:r>
      <w:r w:rsidR="002960EF">
        <w:rPr>
          <w:sz w:val="26"/>
          <w:szCs w:val="26"/>
          <w:lang w:eastAsia="ru-RU"/>
        </w:rPr>
        <w:t xml:space="preserve"> </w:t>
      </w:r>
      <w:r w:rsidR="00CE0620">
        <w:rPr>
          <w:sz w:val="26"/>
          <w:szCs w:val="26"/>
          <w:lang w:eastAsia="ru-RU"/>
        </w:rPr>
        <w:t>%.</w:t>
      </w:r>
    </w:p>
    <w:p w:rsidR="006F1AFA" w:rsidRPr="00A6029B" w:rsidRDefault="008D76BE" w:rsidP="008D76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D76BE">
        <w:rPr>
          <w:sz w:val="26"/>
          <w:szCs w:val="26"/>
          <w:lang w:eastAsia="ru-RU"/>
        </w:rPr>
        <w:t>Для уникального номера реестровой записи 80</w:t>
      </w:r>
      <w:r>
        <w:rPr>
          <w:sz w:val="26"/>
          <w:szCs w:val="26"/>
          <w:lang w:eastAsia="ru-RU"/>
        </w:rPr>
        <w:t>4200О.99.0.ББ52</w:t>
      </w:r>
      <w:r w:rsidRPr="008D76BE">
        <w:rPr>
          <w:sz w:val="26"/>
          <w:szCs w:val="26"/>
          <w:lang w:eastAsia="ru-RU"/>
        </w:rPr>
        <w:t>АГ</w:t>
      </w:r>
      <w:r>
        <w:rPr>
          <w:sz w:val="26"/>
          <w:szCs w:val="26"/>
          <w:lang w:eastAsia="ru-RU"/>
        </w:rPr>
        <w:t>52</w:t>
      </w:r>
      <w:r w:rsidRPr="008D76BE">
        <w:rPr>
          <w:sz w:val="26"/>
          <w:szCs w:val="26"/>
          <w:lang w:eastAsia="ru-RU"/>
        </w:rPr>
        <w:t xml:space="preserve">000, который указан в отчете о выполнении муниципального задания, показатели характеризующие качество муниципальной услуги </w:t>
      </w:r>
      <w:r w:rsidRPr="008D76BE">
        <w:rPr>
          <w:b/>
          <w:sz w:val="26"/>
          <w:szCs w:val="26"/>
          <w:lang w:eastAsia="ru-RU"/>
        </w:rPr>
        <w:t>не предусмотрены</w:t>
      </w:r>
      <w:r w:rsidRPr="008D76BE">
        <w:rPr>
          <w:sz w:val="26"/>
          <w:szCs w:val="26"/>
          <w:lang w:eastAsia="ru-RU"/>
        </w:rPr>
        <w:t>, т. е. в муниципальном задании, как и в отчете не указываются.</w:t>
      </w: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D76BE" w:rsidRPr="008D76BE" w:rsidRDefault="008D76BE" w:rsidP="008D76BE">
      <w:pPr>
        <w:widowControl w:val="0"/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</w:rPr>
        <w:t xml:space="preserve">МБОУ ДОД </w:t>
      </w:r>
      <w:r w:rsidRPr="000F2546">
        <w:rPr>
          <w:sz w:val="26"/>
          <w:szCs w:val="26"/>
          <w:lang w:eastAsia="ru-RU"/>
        </w:rPr>
        <w:t>ДЮСШ</w:t>
      </w:r>
      <w:r w:rsidRPr="008D76BE">
        <w:rPr>
          <w:sz w:val="26"/>
          <w:szCs w:val="26"/>
          <w:lang w:eastAsia="ru-RU"/>
        </w:rPr>
        <w:t xml:space="preserve"> </w:t>
      </w:r>
      <w:r w:rsidRPr="008D76BE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8D76BE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8D76BE" w:rsidRPr="00D31104" w:rsidRDefault="008D76B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98234D" w:rsidRPr="000F2546" w:rsidRDefault="002960EF" w:rsidP="0098234D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8234D" w:rsidRPr="000F2546">
        <w:rPr>
          <w:sz w:val="26"/>
          <w:szCs w:val="26"/>
        </w:rPr>
        <w:t xml:space="preserve">иректор  МБОУ ДОД </w:t>
      </w:r>
      <w:r w:rsidR="0098234D" w:rsidRPr="000F2546">
        <w:rPr>
          <w:sz w:val="26"/>
          <w:szCs w:val="26"/>
          <w:lang w:eastAsia="ru-RU"/>
        </w:rPr>
        <w:t>ДЮСШ</w:t>
      </w:r>
      <w:r>
        <w:rPr>
          <w:sz w:val="26"/>
          <w:szCs w:val="26"/>
          <w:lang w:eastAsia="ru-RU"/>
        </w:rPr>
        <w:t xml:space="preserve">       </w:t>
      </w:r>
      <w:r w:rsidR="0098234D">
        <w:rPr>
          <w:sz w:val="26"/>
          <w:szCs w:val="26"/>
          <w:lang w:eastAsia="ru-RU"/>
        </w:rPr>
        <w:t xml:space="preserve">            </w:t>
      </w:r>
      <w:r w:rsidR="0098234D" w:rsidRPr="000F2546">
        <w:rPr>
          <w:sz w:val="26"/>
          <w:szCs w:val="26"/>
        </w:rPr>
        <w:t xml:space="preserve">                  </w:t>
      </w:r>
      <w:r w:rsidR="0098234D">
        <w:rPr>
          <w:sz w:val="26"/>
          <w:szCs w:val="26"/>
        </w:rPr>
        <w:tab/>
      </w:r>
      <w:r w:rsidR="0098234D">
        <w:rPr>
          <w:sz w:val="26"/>
          <w:szCs w:val="26"/>
        </w:rPr>
        <w:tab/>
        <w:t xml:space="preserve">    </w:t>
      </w:r>
      <w:r w:rsidR="0098234D" w:rsidRPr="000F2546">
        <w:rPr>
          <w:sz w:val="26"/>
          <w:szCs w:val="26"/>
          <w:lang w:eastAsia="ru-RU"/>
        </w:rPr>
        <w:t>Лавриненко П.</w:t>
      </w:r>
      <w:r>
        <w:rPr>
          <w:sz w:val="26"/>
          <w:szCs w:val="26"/>
          <w:lang w:eastAsia="ru-RU"/>
        </w:rPr>
        <w:t xml:space="preserve"> </w:t>
      </w:r>
      <w:r w:rsidR="0098234D" w:rsidRPr="000F2546">
        <w:rPr>
          <w:sz w:val="26"/>
          <w:szCs w:val="26"/>
          <w:lang w:eastAsia="ru-RU"/>
        </w:rPr>
        <w:t>Н</w:t>
      </w:r>
      <w:r w:rsidR="0098234D" w:rsidRPr="000F2546">
        <w:rPr>
          <w:sz w:val="26"/>
          <w:szCs w:val="26"/>
        </w:rPr>
        <w:t>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12" w:rsidRDefault="002A3A12" w:rsidP="002B7EF5">
      <w:r>
        <w:separator/>
      </w:r>
    </w:p>
  </w:endnote>
  <w:endnote w:type="continuationSeparator" w:id="0">
    <w:p w:rsidR="002A3A12" w:rsidRDefault="002A3A12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1B24A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3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12" w:rsidRDefault="002A3A12" w:rsidP="002B7EF5">
      <w:r>
        <w:separator/>
      </w:r>
    </w:p>
  </w:footnote>
  <w:footnote w:type="continuationSeparator" w:id="0">
    <w:p w:rsidR="002A3A12" w:rsidRDefault="002A3A12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9E5B25"/>
    <w:multiLevelType w:val="hybridMultilevel"/>
    <w:tmpl w:val="E5EAE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354F5F"/>
    <w:multiLevelType w:val="hybridMultilevel"/>
    <w:tmpl w:val="A2BCB714"/>
    <w:lvl w:ilvl="0" w:tplc="F1E20164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4"/>
  </w:num>
  <w:num w:numId="6">
    <w:abstractNumId w:val="17"/>
  </w:num>
  <w:num w:numId="7">
    <w:abstractNumId w:val="1"/>
  </w:num>
  <w:num w:numId="8">
    <w:abstractNumId w:val="18"/>
  </w:num>
  <w:num w:numId="9">
    <w:abstractNumId w:val="13"/>
  </w:num>
  <w:num w:numId="10">
    <w:abstractNumId w:val="4"/>
  </w:num>
  <w:num w:numId="11">
    <w:abstractNumId w:val="11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0"/>
  </w:num>
  <w:num w:numId="17">
    <w:abstractNumId w:val="8"/>
  </w:num>
  <w:num w:numId="18">
    <w:abstractNumId w:val="5"/>
  </w:num>
  <w:num w:numId="19">
    <w:abstractNumId w:val="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A72FC"/>
    <w:rsid w:val="000B0207"/>
    <w:rsid w:val="000C057A"/>
    <w:rsid w:val="000D0E22"/>
    <w:rsid w:val="000D3B38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0D4E"/>
    <w:rsid w:val="0014168C"/>
    <w:rsid w:val="0016072F"/>
    <w:rsid w:val="00162F12"/>
    <w:rsid w:val="001632AF"/>
    <w:rsid w:val="001652C4"/>
    <w:rsid w:val="00167AC8"/>
    <w:rsid w:val="00176D18"/>
    <w:rsid w:val="00182257"/>
    <w:rsid w:val="00192958"/>
    <w:rsid w:val="001948C3"/>
    <w:rsid w:val="001979E3"/>
    <w:rsid w:val="001B24A7"/>
    <w:rsid w:val="001C5DBA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749F3"/>
    <w:rsid w:val="00277521"/>
    <w:rsid w:val="00293671"/>
    <w:rsid w:val="002960EF"/>
    <w:rsid w:val="002A3A12"/>
    <w:rsid w:val="002B49E1"/>
    <w:rsid w:val="002B4DEB"/>
    <w:rsid w:val="002B7EF5"/>
    <w:rsid w:val="002D0705"/>
    <w:rsid w:val="002D3303"/>
    <w:rsid w:val="002D4A9A"/>
    <w:rsid w:val="002D56C8"/>
    <w:rsid w:val="002F2F5E"/>
    <w:rsid w:val="002F6FB1"/>
    <w:rsid w:val="00314E30"/>
    <w:rsid w:val="0031538B"/>
    <w:rsid w:val="0031630A"/>
    <w:rsid w:val="003173AB"/>
    <w:rsid w:val="0032462C"/>
    <w:rsid w:val="00347F1F"/>
    <w:rsid w:val="00386D48"/>
    <w:rsid w:val="00392CBE"/>
    <w:rsid w:val="003A10EE"/>
    <w:rsid w:val="003B0AB3"/>
    <w:rsid w:val="003B1651"/>
    <w:rsid w:val="003B20C2"/>
    <w:rsid w:val="003B6212"/>
    <w:rsid w:val="003C1D96"/>
    <w:rsid w:val="003C4271"/>
    <w:rsid w:val="003C43FA"/>
    <w:rsid w:val="003D57F0"/>
    <w:rsid w:val="003E2631"/>
    <w:rsid w:val="003E5AC3"/>
    <w:rsid w:val="003E7BF8"/>
    <w:rsid w:val="003F16EB"/>
    <w:rsid w:val="003F4286"/>
    <w:rsid w:val="004226C4"/>
    <w:rsid w:val="004247DF"/>
    <w:rsid w:val="0042597E"/>
    <w:rsid w:val="00450B3C"/>
    <w:rsid w:val="00451DAB"/>
    <w:rsid w:val="004614AF"/>
    <w:rsid w:val="004654CF"/>
    <w:rsid w:val="004733F3"/>
    <w:rsid w:val="00473CA3"/>
    <w:rsid w:val="00485AFF"/>
    <w:rsid w:val="004A7A18"/>
    <w:rsid w:val="004B2653"/>
    <w:rsid w:val="004B4ACB"/>
    <w:rsid w:val="004C3E97"/>
    <w:rsid w:val="004C558A"/>
    <w:rsid w:val="004D2BD6"/>
    <w:rsid w:val="004E2944"/>
    <w:rsid w:val="004F4236"/>
    <w:rsid w:val="005062B2"/>
    <w:rsid w:val="005115A2"/>
    <w:rsid w:val="0052682C"/>
    <w:rsid w:val="00531BDC"/>
    <w:rsid w:val="00533216"/>
    <w:rsid w:val="00534031"/>
    <w:rsid w:val="00545C7F"/>
    <w:rsid w:val="00555C24"/>
    <w:rsid w:val="005616B6"/>
    <w:rsid w:val="005732B2"/>
    <w:rsid w:val="0057558A"/>
    <w:rsid w:val="00580611"/>
    <w:rsid w:val="005A6B67"/>
    <w:rsid w:val="005B0CFF"/>
    <w:rsid w:val="005B2F15"/>
    <w:rsid w:val="005C5740"/>
    <w:rsid w:val="005D5C17"/>
    <w:rsid w:val="005F7B59"/>
    <w:rsid w:val="00601F78"/>
    <w:rsid w:val="006204E7"/>
    <w:rsid w:val="006249F0"/>
    <w:rsid w:val="00642233"/>
    <w:rsid w:val="00651EC7"/>
    <w:rsid w:val="00657342"/>
    <w:rsid w:val="00671214"/>
    <w:rsid w:val="006954E4"/>
    <w:rsid w:val="00696CD5"/>
    <w:rsid w:val="006B0FD1"/>
    <w:rsid w:val="006B1660"/>
    <w:rsid w:val="006B181D"/>
    <w:rsid w:val="006B46BA"/>
    <w:rsid w:val="006B4D31"/>
    <w:rsid w:val="006B5C12"/>
    <w:rsid w:val="006B6083"/>
    <w:rsid w:val="006B6BD5"/>
    <w:rsid w:val="006B6CD8"/>
    <w:rsid w:val="006B6DBA"/>
    <w:rsid w:val="006F1AFA"/>
    <w:rsid w:val="006F52DB"/>
    <w:rsid w:val="006F5727"/>
    <w:rsid w:val="006F75AC"/>
    <w:rsid w:val="007013BA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60AB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7F67BC"/>
    <w:rsid w:val="00805A56"/>
    <w:rsid w:val="0081558A"/>
    <w:rsid w:val="008155D0"/>
    <w:rsid w:val="00816525"/>
    <w:rsid w:val="00821B6F"/>
    <w:rsid w:val="008323DF"/>
    <w:rsid w:val="008347AA"/>
    <w:rsid w:val="008555C2"/>
    <w:rsid w:val="00860AFC"/>
    <w:rsid w:val="00862252"/>
    <w:rsid w:val="00865AAC"/>
    <w:rsid w:val="00885E18"/>
    <w:rsid w:val="00887F71"/>
    <w:rsid w:val="00895ED0"/>
    <w:rsid w:val="008A4F0F"/>
    <w:rsid w:val="008C34C7"/>
    <w:rsid w:val="008C56F9"/>
    <w:rsid w:val="008D4260"/>
    <w:rsid w:val="008D76BE"/>
    <w:rsid w:val="008E547A"/>
    <w:rsid w:val="008F0194"/>
    <w:rsid w:val="008F1BD6"/>
    <w:rsid w:val="00900D4A"/>
    <w:rsid w:val="00904A96"/>
    <w:rsid w:val="00907999"/>
    <w:rsid w:val="00913A0E"/>
    <w:rsid w:val="009142D0"/>
    <w:rsid w:val="00923807"/>
    <w:rsid w:val="009337C3"/>
    <w:rsid w:val="0095275F"/>
    <w:rsid w:val="00960E80"/>
    <w:rsid w:val="00963727"/>
    <w:rsid w:val="009716FB"/>
    <w:rsid w:val="009729AD"/>
    <w:rsid w:val="00973A99"/>
    <w:rsid w:val="00976D9F"/>
    <w:rsid w:val="0098234D"/>
    <w:rsid w:val="00991030"/>
    <w:rsid w:val="00991BF2"/>
    <w:rsid w:val="009A19BE"/>
    <w:rsid w:val="009A5677"/>
    <w:rsid w:val="009A74B7"/>
    <w:rsid w:val="009B6D50"/>
    <w:rsid w:val="009C3ED5"/>
    <w:rsid w:val="009D155E"/>
    <w:rsid w:val="009E359C"/>
    <w:rsid w:val="009E44B2"/>
    <w:rsid w:val="009F3C2C"/>
    <w:rsid w:val="009F73FD"/>
    <w:rsid w:val="00A319B1"/>
    <w:rsid w:val="00A31DD9"/>
    <w:rsid w:val="00A4169A"/>
    <w:rsid w:val="00A4728E"/>
    <w:rsid w:val="00A47FDD"/>
    <w:rsid w:val="00A564E2"/>
    <w:rsid w:val="00A56626"/>
    <w:rsid w:val="00A57565"/>
    <w:rsid w:val="00A6029B"/>
    <w:rsid w:val="00A744E8"/>
    <w:rsid w:val="00A81F5A"/>
    <w:rsid w:val="00A86A4D"/>
    <w:rsid w:val="00A928CF"/>
    <w:rsid w:val="00AC2C99"/>
    <w:rsid w:val="00AC318B"/>
    <w:rsid w:val="00AC4087"/>
    <w:rsid w:val="00AC75C3"/>
    <w:rsid w:val="00AD475A"/>
    <w:rsid w:val="00AE589E"/>
    <w:rsid w:val="00AF014D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B05C1"/>
    <w:rsid w:val="00BD36B6"/>
    <w:rsid w:val="00BD5A19"/>
    <w:rsid w:val="00BD6388"/>
    <w:rsid w:val="00BE0E3D"/>
    <w:rsid w:val="00BE3560"/>
    <w:rsid w:val="00BE720C"/>
    <w:rsid w:val="00BE76BA"/>
    <w:rsid w:val="00BF56E3"/>
    <w:rsid w:val="00BF6742"/>
    <w:rsid w:val="00BF7DE1"/>
    <w:rsid w:val="00C00DFC"/>
    <w:rsid w:val="00C04BC0"/>
    <w:rsid w:val="00C10371"/>
    <w:rsid w:val="00C10EDE"/>
    <w:rsid w:val="00C20C89"/>
    <w:rsid w:val="00C24D65"/>
    <w:rsid w:val="00C2613D"/>
    <w:rsid w:val="00C36CB3"/>
    <w:rsid w:val="00C411B0"/>
    <w:rsid w:val="00C55FBC"/>
    <w:rsid w:val="00C84E02"/>
    <w:rsid w:val="00CA01C6"/>
    <w:rsid w:val="00CA29AD"/>
    <w:rsid w:val="00CA5C2E"/>
    <w:rsid w:val="00CB2525"/>
    <w:rsid w:val="00CB47D3"/>
    <w:rsid w:val="00CC0163"/>
    <w:rsid w:val="00CC72D5"/>
    <w:rsid w:val="00CD377D"/>
    <w:rsid w:val="00CD6D6D"/>
    <w:rsid w:val="00CE0620"/>
    <w:rsid w:val="00CE646F"/>
    <w:rsid w:val="00CE6CE5"/>
    <w:rsid w:val="00D102BD"/>
    <w:rsid w:val="00D10F97"/>
    <w:rsid w:val="00D13C71"/>
    <w:rsid w:val="00D31104"/>
    <w:rsid w:val="00D4314A"/>
    <w:rsid w:val="00D5782B"/>
    <w:rsid w:val="00D57899"/>
    <w:rsid w:val="00D67FC2"/>
    <w:rsid w:val="00D8492D"/>
    <w:rsid w:val="00D940D0"/>
    <w:rsid w:val="00D96B12"/>
    <w:rsid w:val="00DA4D65"/>
    <w:rsid w:val="00DC1EFC"/>
    <w:rsid w:val="00DC757F"/>
    <w:rsid w:val="00DD22D5"/>
    <w:rsid w:val="00DE5573"/>
    <w:rsid w:val="00DF0F01"/>
    <w:rsid w:val="00E02F11"/>
    <w:rsid w:val="00E1437B"/>
    <w:rsid w:val="00E30243"/>
    <w:rsid w:val="00E35A18"/>
    <w:rsid w:val="00E41197"/>
    <w:rsid w:val="00E50A61"/>
    <w:rsid w:val="00E736AD"/>
    <w:rsid w:val="00E74F6C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372C"/>
    <w:rsid w:val="00F3604D"/>
    <w:rsid w:val="00F70402"/>
    <w:rsid w:val="00F75F57"/>
    <w:rsid w:val="00F848E9"/>
    <w:rsid w:val="00F954AA"/>
    <w:rsid w:val="00F979E7"/>
    <w:rsid w:val="00FA71A9"/>
    <w:rsid w:val="00FB2DEA"/>
    <w:rsid w:val="00FC2801"/>
    <w:rsid w:val="00FD1BE9"/>
    <w:rsid w:val="00FD24CF"/>
    <w:rsid w:val="00FD5C5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B7F5-4E8F-40E9-9586-2BC6F0C9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4384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148</cp:revision>
  <cp:lastPrinted>2021-08-09T07:50:00Z</cp:lastPrinted>
  <dcterms:created xsi:type="dcterms:W3CDTF">2015-01-29T23:28:00Z</dcterms:created>
  <dcterms:modified xsi:type="dcterms:W3CDTF">2023-04-03T01:35:00Z</dcterms:modified>
</cp:coreProperties>
</file>