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F2B6A">
        <w:rPr>
          <w:sz w:val="26"/>
          <w:szCs w:val="26"/>
          <w:lang w:eastAsia="ru-RU"/>
        </w:rPr>
        <w:t>11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326FE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326FE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8E547A">
        <w:rPr>
          <w:sz w:val="26"/>
          <w:szCs w:val="26"/>
          <w:lang w:eastAsia="ru-RU"/>
        </w:rPr>
        <w:t>Жариковская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6326FE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8E547A">
        <w:rPr>
          <w:sz w:val="26"/>
          <w:szCs w:val="26"/>
          <w:lang w:eastAsia="ru-RU"/>
        </w:rPr>
        <w:t>Жариковская</w:t>
      </w:r>
      <w:r w:rsidR="00657342">
        <w:rPr>
          <w:sz w:val="26"/>
          <w:szCs w:val="26"/>
          <w:lang w:eastAsia="ru-RU"/>
        </w:rPr>
        <w:t xml:space="preserve">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6326FE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BF2B6A" w:rsidRPr="000525BA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BF2B6A" w:rsidRPr="00E02F11" w:rsidRDefault="00BF2B6A" w:rsidP="00BF2B6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F2B6A" w:rsidRPr="00E02F11" w:rsidRDefault="00BF2B6A" w:rsidP="00BF2B6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A66F01" w:rsidRPr="00E02F11" w:rsidRDefault="006326FE" w:rsidP="00632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6326FE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6326FE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6326FE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Default="008E547A" w:rsidP="008E547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Жариково,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Pr="002A7AA7">
        <w:rPr>
          <w:rFonts w:ascii="Times New Roman" w:hAnsi="Times New Roman"/>
          <w:sz w:val="26"/>
          <w:szCs w:val="26"/>
        </w:rPr>
        <w:t>, 33.</w:t>
      </w:r>
    </w:p>
    <w:p w:rsidR="008E547A" w:rsidRPr="002B2810" w:rsidRDefault="008E547A" w:rsidP="008E547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E547A" w:rsidRPr="002A7AA7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="006326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6326FE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6326FE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326FE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6326FE">
        <w:rPr>
          <w:rFonts w:ascii="Times New Roman" w:hAnsi="Times New Roman"/>
          <w:sz w:val="26"/>
          <w:szCs w:val="26"/>
          <w:shd w:val="clear" w:color="auto" w:fill="FFFFFF"/>
        </w:rPr>
        <w:t>17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6326FE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8E547A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8E547A">
        <w:rPr>
          <w:rFonts w:ascii="Times New Roman" w:hAnsi="Times New Roman"/>
          <w:sz w:val="26"/>
          <w:szCs w:val="26"/>
        </w:rPr>
        <w:t xml:space="preserve"> Приморского края</w:t>
      </w:r>
      <w:r w:rsidR="008E547A" w:rsidRPr="002B2810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Учреждение имеет самостоятельный баланс, </w:t>
      </w:r>
      <w:r w:rsidR="006326FE" w:rsidRPr="002B2810">
        <w:rPr>
          <w:rFonts w:ascii="Times New Roman" w:hAnsi="Times New Roman"/>
          <w:sz w:val="26"/>
          <w:szCs w:val="26"/>
        </w:rPr>
        <w:t>лицев</w:t>
      </w:r>
      <w:r w:rsidR="006326FE">
        <w:rPr>
          <w:rFonts w:ascii="Times New Roman" w:hAnsi="Times New Roman"/>
          <w:sz w:val="26"/>
          <w:szCs w:val="26"/>
        </w:rPr>
        <w:t>ые</w:t>
      </w:r>
      <w:r w:rsidR="006326FE" w:rsidRPr="002B2810">
        <w:rPr>
          <w:rFonts w:ascii="Times New Roman" w:hAnsi="Times New Roman"/>
          <w:sz w:val="26"/>
          <w:szCs w:val="26"/>
        </w:rPr>
        <w:t xml:space="preserve"> счет</w:t>
      </w:r>
      <w:r w:rsidR="006326FE">
        <w:rPr>
          <w:rFonts w:ascii="Times New Roman" w:hAnsi="Times New Roman"/>
          <w:sz w:val="26"/>
          <w:szCs w:val="26"/>
        </w:rPr>
        <w:t>а (</w:t>
      </w:r>
      <w:r w:rsidR="006326FE" w:rsidRPr="00E2457C">
        <w:rPr>
          <w:rFonts w:ascii="Times New Roman" w:hAnsi="Times New Roman"/>
          <w:sz w:val="26"/>
          <w:szCs w:val="26"/>
        </w:rPr>
        <w:t>20206Ь80</w:t>
      </w:r>
      <w:r w:rsidR="006326FE">
        <w:rPr>
          <w:rFonts w:ascii="Times New Roman" w:hAnsi="Times New Roman"/>
          <w:sz w:val="26"/>
          <w:szCs w:val="26"/>
        </w:rPr>
        <w:t xml:space="preserve">170, </w:t>
      </w:r>
      <w:r w:rsidR="006326FE" w:rsidRPr="00E2457C">
        <w:rPr>
          <w:rFonts w:ascii="Times New Roman" w:hAnsi="Times New Roman"/>
          <w:sz w:val="26"/>
          <w:szCs w:val="26"/>
        </w:rPr>
        <w:t>21206Ь80</w:t>
      </w:r>
      <w:r w:rsidR="006326FE">
        <w:rPr>
          <w:rFonts w:ascii="Times New Roman" w:hAnsi="Times New Roman"/>
          <w:sz w:val="26"/>
          <w:szCs w:val="26"/>
        </w:rPr>
        <w:t>170),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E547A" w:rsidRPr="002B2810" w:rsidRDefault="008E547A" w:rsidP="008E54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42665B" w:rsidRPr="0042665B" w:rsidRDefault="00D844C9" w:rsidP="004266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Федосенко Лариса Михайловна</w:t>
      </w:r>
      <w:r w:rsidR="0042665B" w:rsidRPr="0042665B">
        <w:rPr>
          <w:rFonts w:ascii="Times New Roman" w:hAnsi="Times New Roman"/>
          <w:sz w:val="26"/>
          <w:szCs w:val="26"/>
        </w:rPr>
        <w:t xml:space="preserve"> – директор МБОУ «Жариковская СОШ  ПМО», принят на должность распоряжением </w:t>
      </w:r>
      <w:r w:rsidR="0042665B">
        <w:rPr>
          <w:rFonts w:ascii="Times New Roman" w:hAnsi="Times New Roman"/>
          <w:sz w:val="26"/>
          <w:szCs w:val="26"/>
        </w:rPr>
        <w:t>г</w:t>
      </w:r>
      <w:r w:rsidR="0042665B" w:rsidRPr="0042665B">
        <w:rPr>
          <w:rFonts w:ascii="Times New Roman" w:hAnsi="Times New Roman"/>
          <w:sz w:val="26"/>
          <w:szCs w:val="26"/>
        </w:rPr>
        <w:t>лавы Администрации Пограничного муниципального округа с правом первой подписи на оправдательных документах;</w:t>
      </w:r>
    </w:p>
    <w:p w:rsidR="0042665B" w:rsidRDefault="0042665B" w:rsidP="00D844C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2665B">
        <w:rPr>
          <w:rFonts w:ascii="Times New Roman" w:hAnsi="Times New Roman"/>
          <w:sz w:val="26"/>
          <w:szCs w:val="26"/>
        </w:rPr>
        <w:t>Овчарова</w:t>
      </w:r>
      <w:bookmarkStart w:id="0" w:name="_GoBack"/>
      <w:bookmarkEnd w:id="0"/>
      <w:r w:rsidRPr="0042665B">
        <w:rPr>
          <w:rFonts w:ascii="Times New Roman" w:hAnsi="Times New Roman"/>
          <w:sz w:val="26"/>
          <w:szCs w:val="26"/>
        </w:rPr>
        <w:t xml:space="preserve"> Ирина Александровна – заместитель директора по финансам МБОУ «Жариковская СОШ ПМО» с правом второй подписи на оправдательных документах.</w:t>
      </w:r>
    </w:p>
    <w:p w:rsidR="008E547A" w:rsidRPr="002B2810" w:rsidRDefault="008E547A" w:rsidP="00D844C9">
      <w:pPr>
        <w:pStyle w:val="a3"/>
        <w:spacing w:before="24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844C9">
        <w:rPr>
          <w:rFonts w:ascii="Times New Roman" w:hAnsi="Times New Roman"/>
          <w:sz w:val="26"/>
          <w:szCs w:val="26"/>
          <w:u w:val="single"/>
        </w:rPr>
        <w:t>72 453,82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0A24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D844C9" w:rsidRPr="00A2603C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D844C9" w:rsidRPr="00A2603C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D844C9" w:rsidRPr="00A2603C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D844C9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вид деятельности 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>не 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D844C9" w:rsidRDefault="00D844C9" w:rsidP="00D844C9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D844C9" w:rsidRPr="00E02F11" w:rsidRDefault="00D844C9" w:rsidP="00C4146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42665B" w:rsidRPr="00E02F11" w:rsidRDefault="0042665B" w:rsidP="004266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C4146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D844C9" w:rsidRPr="001C2DCA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D844C9" w:rsidRDefault="00D844C9" w:rsidP="00D844C9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D844C9" w:rsidRPr="001C2DCA" w:rsidRDefault="00D844C9" w:rsidP="00D844C9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D844C9" w:rsidRPr="001C2DCA" w:rsidRDefault="00D844C9" w:rsidP="00D844C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D844C9" w:rsidRPr="001C2DCA" w:rsidRDefault="00D844C9" w:rsidP="00D844C9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D844C9" w:rsidRDefault="00D844C9" w:rsidP="00D844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D844C9" w:rsidRDefault="00D844C9" w:rsidP="00D844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D844C9" w:rsidTr="00F036D8">
        <w:tc>
          <w:tcPr>
            <w:tcW w:w="3544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D844C9" w:rsidRPr="007A718D" w:rsidRDefault="001376DF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D844C9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D844C9" w:rsidTr="00F036D8">
        <w:tc>
          <w:tcPr>
            <w:tcW w:w="3544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D844C9" w:rsidRDefault="00D844C9" w:rsidP="00D844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12.04.2022 г.)</w:t>
            </w:r>
          </w:p>
        </w:tc>
        <w:tc>
          <w:tcPr>
            <w:tcW w:w="3119" w:type="dxa"/>
            <w:vAlign w:val="center"/>
          </w:tcPr>
          <w:p w:rsidR="00D844C9" w:rsidRPr="001B5360" w:rsidRDefault="00D844C9" w:rsidP="00D844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504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5.04.2022 г.</w:t>
            </w:r>
          </w:p>
        </w:tc>
        <w:tc>
          <w:tcPr>
            <w:tcW w:w="3119" w:type="dxa"/>
            <w:vAlign w:val="center"/>
          </w:tcPr>
          <w:p w:rsidR="00D844C9" w:rsidRDefault="00D844C9" w:rsidP="00D844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15.04.2022 г.</w:t>
            </w:r>
          </w:p>
        </w:tc>
      </w:tr>
      <w:tr w:rsidR="00D844C9" w:rsidTr="00F036D8">
        <w:tc>
          <w:tcPr>
            <w:tcW w:w="3544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D844C9" w:rsidRDefault="00D844C9" w:rsidP="003A0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3A00C9" w:rsidRPr="003A00C9">
              <w:rPr>
                <w:b/>
                <w:color w:val="000000"/>
                <w:sz w:val="26"/>
                <w:szCs w:val="26"/>
              </w:rPr>
              <w:t>нет отчета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  <w:vAlign w:val="center"/>
          </w:tcPr>
          <w:p w:rsidR="00D844C9" w:rsidRDefault="003A00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A00C9">
              <w:rPr>
                <w:b/>
                <w:color w:val="000000"/>
                <w:sz w:val="26"/>
                <w:szCs w:val="26"/>
              </w:rPr>
              <w:t>нет отчета</w:t>
            </w:r>
          </w:p>
        </w:tc>
        <w:tc>
          <w:tcPr>
            <w:tcW w:w="3119" w:type="dxa"/>
            <w:vAlign w:val="center"/>
          </w:tcPr>
          <w:p w:rsidR="00D844C9" w:rsidRDefault="003A00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A00C9">
              <w:rPr>
                <w:b/>
                <w:color w:val="000000"/>
                <w:sz w:val="26"/>
                <w:szCs w:val="26"/>
              </w:rPr>
              <w:t>нет отчета</w:t>
            </w:r>
          </w:p>
        </w:tc>
      </w:tr>
      <w:tr w:rsidR="00D844C9" w:rsidTr="00F036D8">
        <w:tc>
          <w:tcPr>
            <w:tcW w:w="3544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3A00C9" w:rsidRPr="003A00C9">
              <w:rPr>
                <w:b/>
                <w:color w:val="000000"/>
                <w:sz w:val="26"/>
                <w:szCs w:val="26"/>
              </w:rPr>
              <w:t>нет отчета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  <w:vAlign w:val="center"/>
          </w:tcPr>
          <w:p w:rsidR="00D844C9" w:rsidRDefault="003A00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A00C9">
              <w:rPr>
                <w:b/>
                <w:color w:val="000000"/>
                <w:sz w:val="26"/>
                <w:szCs w:val="26"/>
              </w:rPr>
              <w:t>нет отчета</w:t>
            </w:r>
          </w:p>
        </w:tc>
        <w:tc>
          <w:tcPr>
            <w:tcW w:w="3119" w:type="dxa"/>
            <w:vAlign w:val="center"/>
          </w:tcPr>
          <w:p w:rsidR="00D844C9" w:rsidRDefault="003A00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A00C9">
              <w:rPr>
                <w:b/>
                <w:color w:val="000000"/>
                <w:sz w:val="26"/>
                <w:szCs w:val="26"/>
              </w:rPr>
              <w:t>нет отчета</w:t>
            </w:r>
          </w:p>
        </w:tc>
      </w:tr>
      <w:tr w:rsidR="00D844C9" w:rsidTr="00F036D8">
        <w:tc>
          <w:tcPr>
            <w:tcW w:w="3544" w:type="dxa"/>
          </w:tcPr>
          <w:p w:rsidR="00D844C9" w:rsidRDefault="00D844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D844C9" w:rsidRDefault="00D844C9" w:rsidP="003A00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3A00C9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.01.2023 г.)</w:t>
            </w:r>
          </w:p>
        </w:tc>
        <w:tc>
          <w:tcPr>
            <w:tcW w:w="3119" w:type="dxa"/>
            <w:vAlign w:val="center"/>
          </w:tcPr>
          <w:p w:rsidR="00D844C9" w:rsidRDefault="003A00C9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D844C9">
              <w:rPr>
                <w:color w:val="000000"/>
                <w:sz w:val="26"/>
                <w:szCs w:val="26"/>
              </w:rPr>
              <w:t>.01.2023 г.</w:t>
            </w:r>
          </w:p>
        </w:tc>
        <w:tc>
          <w:tcPr>
            <w:tcW w:w="3119" w:type="dxa"/>
            <w:vAlign w:val="center"/>
          </w:tcPr>
          <w:p w:rsidR="00D844C9" w:rsidRDefault="003A00C9" w:rsidP="003A00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D844C9">
              <w:rPr>
                <w:color w:val="000000"/>
                <w:sz w:val="26"/>
                <w:szCs w:val="26"/>
              </w:rPr>
              <w:t>1.01.2023 г.</w:t>
            </w:r>
          </w:p>
        </w:tc>
      </w:tr>
    </w:tbl>
    <w:p w:rsidR="00D844C9" w:rsidRDefault="00D844C9" w:rsidP="00D844C9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A4CBA" w:rsidRDefault="003A00C9" w:rsidP="008A4CB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 ранее приведенных данных видно, что отчет</w:t>
      </w:r>
      <w:r w:rsidR="00F73467">
        <w:rPr>
          <w:rFonts w:eastAsia="Calibri"/>
          <w:sz w:val="26"/>
          <w:szCs w:val="26"/>
        </w:rPr>
        <w:t xml:space="preserve">ы за второй и третий квартал не составлялись и не размещались </w:t>
      </w:r>
      <w:r>
        <w:rPr>
          <w:rFonts w:eastAsia="Calibri"/>
          <w:sz w:val="26"/>
          <w:szCs w:val="26"/>
        </w:rPr>
        <w:t>в сети Интернет</w:t>
      </w:r>
      <w:r w:rsidR="00F73467">
        <w:rPr>
          <w:rFonts w:eastAsia="Calibri"/>
          <w:sz w:val="26"/>
          <w:szCs w:val="26"/>
        </w:rPr>
        <w:t xml:space="preserve">. Отчет от 23.01.2023 г. размещен </w:t>
      </w:r>
      <w:r w:rsidRPr="00AC257B">
        <w:rPr>
          <w:rFonts w:eastAsia="Calibri"/>
          <w:b/>
          <w:sz w:val="26"/>
          <w:szCs w:val="26"/>
        </w:rPr>
        <w:t>с нарушением сроков</w:t>
      </w:r>
      <w:r>
        <w:rPr>
          <w:rFonts w:eastAsia="Calibri"/>
          <w:b/>
          <w:sz w:val="26"/>
          <w:szCs w:val="26"/>
        </w:rPr>
        <w:t xml:space="preserve"> </w:t>
      </w:r>
      <w:r w:rsidRPr="00AC257B">
        <w:rPr>
          <w:rFonts w:eastAsia="Calibri"/>
          <w:sz w:val="26"/>
          <w:szCs w:val="26"/>
        </w:rPr>
        <w:t xml:space="preserve">(просрочка составляет </w:t>
      </w:r>
      <w:r>
        <w:rPr>
          <w:rFonts w:eastAsia="Calibri"/>
          <w:sz w:val="26"/>
          <w:szCs w:val="26"/>
        </w:rPr>
        <w:t>1</w:t>
      </w:r>
      <w:r w:rsidRPr="00AC257B">
        <w:rPr>
          <w:rFonts w:eastAsia="Calibri"/>
          <w:sz w:val="26"/>
          <w:szCs w:val="26"/>
        </w:rPr>
        <w:t xml:space="preserve"> рабочи</w:t>
      </w:r>
      <w:r w:rsidR="00F73467">
        <w:rPr>
          <w:rFonts w:eastAsia="Calibri"/>
          <w:sz w:val="26"/>
          <w:szCs w:val="26"/>
        </w:rPr>
        <w:t>й</w:t>
      </w:r>
      <w:r w:rsidRPr="00AC257B">
        <w:rPr>
          <w:rFonts w:eastAsia="Calibri"/>
          <w:sz w:val="26"/>
          <w:szCs w:val="26"/>
        </w:rPr>
        <w:t xml:space="preserve"> д</w:t>
      </w:r>
      <w:r w:rsidR="00F73467">
        <w:rPr>
          <w:rFonts w:eastAsia="Calibri"/>
          <w:sz w:val="26"/>
          <w:szCs w:val="26"/>
        </w:rPr>
        <w:t>е</w:t>
      </w:r>
      <w:r w:rsidRPr="00AC257B">
        <w:rPr>
          <w:rFonts w:eastAsia="Calibri"/>
          <w:sz w:val="26"/>
          <w:szCs w:val="26"/>
        </w:rPr>
        <w:t>н</w:t>
      </w:r>
      <w:r w:rsidR="00F73467">
        <w:rPr>
          <w:rFonts w:eastAsia="Calibri"/>
          <w:sz w:val="26"/>
          <w:szCs w:val="26"/>
        </w:rPr>
        <w:t>ь</w:t>
      </w:r>
      <w:r w:rsidRPr="00AC257B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 xml:space="preserve"> </w:t>
      </w:r>
      <w:r>
        <w:rPr>
          <w:rStyle w:val="a9"/>
          <w:color w:val="auto"/>
          <w:sz w:val="26"/>
          <w:szCs w:val="26"/>
          <w:u w:val="none"/>
        </w:rPr>
        <w:t>-</w:t>
      </w:r>
      <w:r>
        <w:rPr>
          <w:rFonts w:eastAsia="Calibri"/>
          <w:sz w:val="26"/>
          <w:szCs w:val="26"/>
        </w:rPr>
        <w:t xml:space="preserve"> нарушение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Приказа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F73467">
        <w:rPr>
          <w:rFonts w:eastAsia="Calibri"/>
          <w:sz w:val="26"/>
          <w:szCs w:val="26"/>
        </w:rPr>
        <w:t xml:space="preserve"> и Постановления 739</w:t>
      </w:r>
      <w:r>
        <w:rPr>
          <w:rFonts w:eastAsia="Calibri"/>
          <w:sz w:val="26"/>
          <w:szCs w:val="26"/>
        </w:rPr>
        <w:t>.</w:t>
      </w:r>
    </w:p>
    <w:p w:rsidR="003A00C9" w:rsidRDefault="003A00C9" w:rsidP="008A4CBA">
      <w:pPr>
        <w:ind w:firstLine="709"/>
        <w:jc w:val="both"/>
        <w:rPr>
          <w:sz w:val="26"/>
          <w:szCs w:val="26"/>
        </w:rPr>
      </w:pPr>
    </w:p>
    <w:p w:rsidR="008A4CBA" w:rsidRPr="001C2DCA" w:rsidRDefault="008A4CBA" w:rsidP="008A4CBA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8A4CBA" w:rsidRDefault="008A4CBA" w:rsidP="008A4CB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7C2D" w:rsidRDefault="00F73467" w:rsidP="00F7346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(802112О.99.0.ББ11АГ00000), которому соответствует один показатель</w:t>
      </w:r>
      <w:r>
        <w:rPr>
          <w:sz w:val="26"/>
          <w:szCs w:val="26"/>
        </w:rPr>
        <w:t>, характеризующий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З</w:t>
      </w:r>
      <w:r w:rsidRPr="001C2DCA">
        <w:rPr>
          <w:sz w:val="26"/>
          <w:szCs w:val="26"/>
        </w:rPr>
        <w:t>начени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м явля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тся числ</w:t>
      </w:r>
      <w:r>
        <w:rPr>
          <w:sz w:val="26"/>
          <w:szCs w:val="26"/>
        </w:rPr>
        <w:t>о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обучающихся, а в отчете о выполнении муниципального задания учреждения прописан </w:t>
      </w:r>
      <w:r w:rsidRPr="00CB6D22">
        <w:rPr>
          <w:b/>
          <w:sz w:val="26"/>
          <w:szCs w:val="26"/>
        </w:rPr>
        <w:t>отличный от требуем</w:t>
      </w:r>
      <w:r>
        <w:rPr>
          <w:b/>
          <w:sz w:val="26"/>
          <w:szCs w:val="26"/>
        </w:rPr>
        <w:t>ого</w:t>
      </w:r>
      <w:r>
        <w:rPr>
          <w:sz w:val="26"/>
          <w:szCs w:val="26"/>
        </w:rPr>
        <w:t xml:space="preserve"> показатель, характеризующий объем муниципальной услуги - «количество детей школьного возраста, получившие услугу начального общего, основного общего, среднего общего образования по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программ». </w:t>
      </w:r>
      <w:proofErr w:type="gramEnd"/>
    </w:p>
    <w:p w:rsidR="00F73467" w:rsidRDefault="00F73467" w:rsidP="00F7346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</w:t>
      </w:r>
      <w:r>
        <w:rPr>
          <w:sz w:val="26"/>
          <w:szCs w:val="26"/>
        </w:rPr>
        <w:lastRenderedPageBreak/>
        <w:t xml:space="preserve">как и показателе, характеризующем условия (формы) оказания муниципальной услуги </w:t>
      </w:r>
      <w:r w:rsidRPr="00173FD9">
        <w:rPr>
          <w:b/>
          <w:sz w:val="26"/>
          <w:szCs w:val="26"/>
        </w:rPr>
        <w:t>не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F73467" w:rsidRDefault="00F73467" w:rsidP="00F7346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Финансовое обеспечение учреждения в динамике представлено в таблице:</w:t>
      </w:r>
    </w:p>
    <w:p w:rsidR="00F73467" w:rsidRDefault="00F73467" w:rsidP="00F73467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93"/>
        <w:gridCol w:w="1893"/>
        <w:gridCol w:w="2592"/>
        <w:gridCol w:w="1985"/>
      </w:tblGrid>
      <w:tr w:rsidR="00F73467" w:rsidRPr="00DA5C5A" w:rsidTr="00F036D8">
        <w:tc>
          <w:tcPr>
            <w:tcW w:w="1101" w:type="dxa"/>
            <w:vAlign w:val="center"/>
          </w:tcPr>
          <w:p w:rsidR="00F73467" w:rsidRPr="00C90C16" w:rsidRDefault="00F73467" w:rsidP="00F036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93" w:type="dxa"/>
            <w:vAlign w:val="center"/>
          </w:tcPr>
          <w:p w:rsidR="00F73467" w:rsidRPr="00C90C16" w:rsidRDefault="00F73467" w:rsidP="00F036D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план</w:t>
            </w:r>
          </w:p>
        </w:tc>
        <w:tc>
          <w:tcPr>
            <w:tcW w:w="1893" w:type="dxa"/>
            <w:vAlign w:val="center"/>
          </w:tcPr>
          <w:p w:rsidR="00F73467" w:rsidRPr="00C90C16" w:rsidRDefault="00F73467" w:rsidP="00F036D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факт</w:t>
            </w:r>
          </w:p>
        </w:tc>
        <w:tc>
          <w:tcPr>
            <w:tcW w:w="2592" w:type="dxa"/>
            <w:vAlign w:val="center"/>
          </w:tcPr>
          <w:p w:rsidR="00F73467" w:rsidRPr="00C90C16" w:rsidRDefault="00F73467" w:rsidP="00F036D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Средний размер платы за 1</w:t>
            </w:r>
          </w:p>
          <w:p w:rsidR="00F73467" w:rsidRPr="00C90C16" w:rsidRDefault="00F73467" w:rsidP="00F036D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воспитанника</w:t>
            </w:r>
          </w:p>
        </w:tc>
        <w:tc>
          <w:tcPr>
            <w:tcW w:w="1985" w:type="dxa"/>
            <w:vAlign w:val="center"/>
          </w:tcPr>
          <w:p w:rsidR="00F73467" w:rsidRPr="00C90C16" w:rsidRDefault="00F73467" w:rsidP="00F036D8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Субсидия на выполнение МЗ</w:t>
            </w:r>
          </w:p>
        </w:tc>
      </w:tr>
      <w:tr w:rsidR="00537C2D" w:rsidRPr="0011725D" w:rsidTr="00F036D8">
        <w:tc>
          <w:tcPr>
            <w:tcW w:w="1101" w:type="dxa"/>
          </w:tcPr>
          <w:p w:rsidR="00537C2D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93" w:type="dxa"/>
          </w:tcPr>
          <w:p w:rsidR="00537C2D" w:rsidRDefault="00537C2D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1893" w:type="dxa"/>
          </w:tcPr>
          <w:p w:rsidR="00537C2D" w:rsidRDefault="00537C2D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592" w:type="dxa"/>
          </w:tcPr>
          <w:p w:rsidR="00537C2D" w:rsidRDefault="00537C2D" w:rsidP="00537C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205 691,49</w:t>
            </w:r>
          </w:p>
        </w:tc>
        <w:tc>
          <w:tcPr>
            <w:tcW w:w="1985" w:type="dxa"/>
            <w:vAlign w:val="bottom"/>
          </w:tcPr>
          <w:p w:rsidR="00537C2D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56 516 622,98</w:t>
            </w:r>
          </w:p>
        </w:tc>
      </w:tr>
      <w:tr w:rsidR="00537C2D" w:rsidRPr="0011725D" w:rsidTr="00F036D8">
        <w:tc>
          <w:tcPr>
            <w:tcW w:w="1101" w:type="dxa"/>
          </w:tcPr>
          <w:p w:rsidR="00537C2D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93" w:type="dxa"/>
          </w:tcPr>
          <w:p w:rsidR="00537C2D" w:rsidRDefault="00537C2D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93" w:type="dxa"/>
          </w:tcPr>
          <w:p w:rsidR="00537C2D" w:rsidRDefault="00537C2D" w:rsidP="00F036D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2592" w:type="dxa"/>
          </w:tcPr>
          <w:p w:rsidR="00537C2D" w:rsidRDefault="00537C2D" w:rsidP="00537C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203 672,41</w:t>
            </w:r>
          </w:p>
        </w:tc>
        <w:tc>
          <w:tcPr>
            <w:tcW w:w="1985" w:type="dxa"/>
            <w:vAlign w:val="bottom"/>
          </w:tcPr>
          <w:p w:rsidR="00537C2D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59 276 432,33</w:t>
            </w:r>
          </w:p>
        </w:tc>
      </w:tr>
      <w:tr w:rsidR="00F73467" w:rsidRPr="0011725D" w:rsidTr="00F036D8">
        <w:tc>
          <w:tcPr>
            <w:tcW w:w="1101" w:type="dxa"/>
          </w:tcPr>
          <w:p w:rsidR="00F73467" w:rsidRPr="00C90C16" w:rsidRDefault="00F73467" w:rsidP="00F036D8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93" w:type="dxa"/>
            <w:vAlign w:val="bottom"/>
          </w:tcPr>
          <w:p w:rsidR="00F73467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893" w:type="dxa"/>
            <w:vAlign w:val="bottom"/>
          </w:tcPr>
          <w:p w:rsidR="00F73467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2592" w:type="dxa"/>
            <w:vAlign w:val="bottom"/>
          </w:tcPr>
          <w:p w:rsidR="00F73467" w:rsidRPr="00537C2D" w:rsidRDefault="00537C2D" w:rsidP="00F036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37C2D">
              <w:rPr>
                <w:b/>
                <w:color w:val="000000"/>
                <w:sz w:val="26"/>
                <w:szCs w:val="26"/>
              </w:rPr>
              <w:t>231 349,21</w:t>
            </w:r>
          </w:p>
        </w:tc>
        <w:tc>
          <w:tcPr>
            <w:tcW w:w="1985" w:type="dxa"/>
            <w:vAlign w:val="bottom"/>
          </w:tcPr>
          <w:p w:rsidR="00F73467" w:rsidRPr="00C90C16" w:rsidRDefault="00537C2D" w:rsidP="00F036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72 453 824,49</w:t>
            </w:r>
          </w:p>
        </w:tc>
      </w:tr>
    </w:tbl>
    <w:p w:rsidR="008E547A" w:rsidRPr="008E547A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2538C0" w:rsidRDefault="008E547A" w:rsidP="002538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ab/>
      </w:r>
      <w:r w:rsidR="00D15D34" w:rsidRPr="00DD4695">
        <w:rPr>
          <w:sz w:val="26"/>
          <w:szCs w:val="26"/>
          <w:lang w:eastAsia="ru-RU"/>
        </w:rPr>
        <w:t xml:space="preserve">Средний размер платы (цена, тариф) показателя объема муниципальной услуги рассчитан </w:t>
      </w:r>
      <w:r w:rsidR="00D15D34" w:rsidRPr="00DD4695">
        <w:rPr>
          <w:b/>
          <w:sz w:val="26"/>
          <w:szCs w:val="26"/>
          <w:lang w:eastAsia="ru-RU"/>
        </w:rPr>
        <w:t>неверно</w:t>
      </w:r>
      <w:r w:rsidR="00D15D34">
        <w:rPr>
          <w:b/>
          <w:sz w:val="26"/>
          <w:szCs w:val="26"/>
          <w:lang w:eastAsia="ru-RU"/>
        </w:rPr>
        <w:t>.</w:t>
      </w:r>
      <w:r w:rsidR="00D15D34">
        <w:rPr>
          <w:sz w:val="26"/>
          <w:szCs w:val="26"/>
          <w:lang w:eastAsia="ru-RU"/>
        </w:rPr>
        <w:t xml:space="preserve"> </w:t>
      </w:r>
      <w:r w:rsidR="002538C0">
        <w:rPr>
          <w:sz w:val="26"/>
          <w:szCs w:val="26"/>
          <w:lang w:eastAsia="ru-RU"/>
        </w:rPr>
        <w:t>В 20</w:t>
      </w:r>
      <w:r w:rsidR="00294E52">
        <w:rPr>
          <w:sz w:val="26"/>
          <w:szCs w:val="26"/>
          <w:lang w:eastAsia="ru-RU"/>
        </w:rPr>
        <w:t>2</w:t>
      </w:r>
      <w:r w:rsidR="00D15D34">
        <w:rPr>
          <w:sz w:val="26"/>
          <w:szCs w:val="26"/>
          <w:lang w:eastAsia="ru-RU"/>
        </w:rPr>
        <w:t>2</w:t>
      </w:r>
      <w:r w:rsidR="002538C0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8A4CBA">
        <w:rPr>
          <w:sz w:val="26"/>
          <w:szCs w:val="26"/>
          <w:lang w:eastAsia="ru-RU"/>
        </w:rPr>
        <w:t>3</w:t>
      </w:r>
      <w:r w:rsidR="00D15D34">
        <w:rPr>
          <w:sz w:val="26"/>
          <w:szCs w:val="26"/>
          <w:lang w:eastAsia="ru-RU"/>
        </w:rPr>
        <w:t>6</w:t>
      </w:r>
      <w:r w:rsidR="002538C0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3</w:t>
      </w:r>
      <w:r w:rsidR="00294E52">
        <w:rPr>
          <w:sz w:val="26"/>
          <w:szCs w:val="26"/>
          <w:lang w:eastAsia="ru-RU"/>
        </w:rPr>
        <w:t>1</w:t>
      </w:r>
      <w:r w:rsidR="00D15D34">
        <w:rPr>
          <w:sz w:val="26"/>
          <w:szCs w:val="26"/>
          <w:lang w:eastAsia="ru-RU"/>
        </w:rPr>
        <w:t>4</w:t>
      </w:r>
      <w:r w:rsidR="002538C0">
        <w:rPr>
          <w:sz w:val="26"/>
          <w:szCs w:val="26"/>
          <w:lang w:eastAsia="ru-RU"/>
        </w:rPr>
        <w:t xml:space="preserve"> </w:t>
      </w:r>
      <w:r w:rsidR="00294E52">
        <w:rPr>
          <w:sz w:val="26"/>
          <w:szCs w:val="26"/>
          <w:lang w:eastAsia="ru-RU"/>
        </w:rPr>
        <w:t>детей</w:t>
      </w:r>
      <w:r w:rsidR="002538C0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294E52">
        <w:rPr>
          <w:sz w:val="26"/>
          <w:szCs w:val="26"/>
          <w:lang w:eastAsia="ru-RU"/>
        </w:rPr>
        <w:t>2</w:t>
      </w:r>
      <w:r w:rsidR="00D15D34">
        <w:rPr>
          <w:sz w:val="26"/>
          <w:szCs w:val="26"/>
          <w:lang w:eastAsia="ru-RU"/>
        </w:rPr>
        <w:t>2</w:t>
      </w:r>
      <w:r w:rsidR="002538C0">
        <w:rPr>
          <w:sz w:val="26"/>
          <w:szCs w:val="26"/>
          <w:lang w:eastAsia="ru-RU"/>
        </w:rPr>
        <w:t xml:space="preserve"> году </w:t>
      </w:r>
      <w:r w:rsidR="00D15D34">
        <w:rPr>
          <w:sz w:val="26"/>
          <w:szCs w:val="26"/>
          <w:lang w:eastAsia="ru-RU"/>
        </w:rPr>
        <w:t>снизилось</w:t>
      </w:r>
      <w:r w:rsidR="002538C0">
        <w:rPr>
          <w:sz w:val="26"/>
          <w:szCs w:val="26"/>
          <w:lang w:eastAsia="ru-RU"/>
        </w:rPr>
        <w:t xml:space="preserve"> на </w:t>
      </w:r>
      <w:r w:rsidR="00D15D34">
        <w:rPr>
          <w:sz w:val="26"/>
          <w:szCs w:val="26"/>
          <w:lang w:eastAsia="ru-RU"/>
        </w:rPr>
        <w:t>4</w:t>
      </w:r>
      <w:r w:rsidR="002538C0">
        <w:rPr>
          <w:sz w:val="26"/>
          <w:szCs w:val="26"/>
          <w:lang w:eastAsia="ru-RU"/>
        </w:rPr>
        <w:t xml:space="preserve"> единиц</w:t>
      </w:r>
      <w:r w:rsidR="00D15D34">
        <w:rPr>
          <w:sz w:val="26"/>
          <w:szCs w:val="26"/>
          <w:lang w:eastAsia="ru-RU"/>
        </w:rPr>
        <w:t>ы</w:t>
      </w:r>
      <w:r w:rsidR="00101CC5">
        <w:rPr>
          <w:sz w:val="26"/>
          <w:szCs w:val="26"/>
          <w:lang w:eastAsia="ru-RU"/>
        </w:rPr>
        <w:t xml:space="preserve"> или на </w:t>
      </w:r>
      <w:r w:rsidR="00D15D34">
        <w:rPr>
          <w:sz w:val="26"/>
          <w:szCs w:val="26"/>
          <w:lang w:eastAsia="ru-RU"/>
        </w:rPr>
        <w:t>1,3</w:t>
      </w:r>
      <w:r w:rsidR="00294E52">
        <w:rPr>
          <w:sz w:val="26"/>
          <w:szCs w:val="26"/>
          <w:lang w:eastAsia="ru-RU"/>
        </w:rPr>
        <w:t xml:space="preserve"> </w:t>
      </w:r>
      <w:r w:rsidR="00101CC5">
        <w:rPr>
          <w:sz w:val="26"/>
          <w:szCs w:val="26"/>
          <w:lang w:eastAsia="ru-RU"/>
        </w:rPr>
        <w:t>%</w:t>
      </w:r>
      <w:r w:rsidR="002538C0">
        <w:rPr>
          <w:sz w:val="26"/>
          <w:szCs w:val="26"/>
          <w:lang w:eastAsia="ru-RU"/>
        </w:rPr>
        <w:t xml:space="preserve"> относительно аналогичного периода прошлого года.</w:t>
      </w:r>
    </w:p>
    <w:p w:rsidR="00D15D34" w:rsidRPr="005363A6" w:rsidRDefault="00D15D34" w:rsidP="00D15D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06371">
        <w:rPr>
          <w:sz w:val="26"/>
          <w:szCs w:val="26"/>
          <w:lang w:eastAsia="ru-RU"/>
        </w:rPr>
        <w:t xml:space="preserve">Проанализировав ф. 0503737 </w:t>
      </w:r>
      <w:r w:rsidRPr="005363A6">
        <w:rPr>
          <w:sz w:val="26"/>
          <w:szCs w:val="26"/>
          <w:lang w:eastAsia="ru-RU"/>
        </w:rPr>
        <w:t xml:space="preserve">за 2021 и 2022 годы установлено увеличение расходов на </w:t>
      </w:r>
      <w:r w:rsidR="000C7FEA">
        <w:rPr>
          <w:sz w:val="26"/>
          <w:szCs w:val="26"/>
          <w:lang w:eastAsia="ru-RU"/>
        </w:rPr>
        <w:t>7 685,99</w:t>
      </w:r>
      <w:r w:rsidRPr="005363A6">
        <w:rPr>
          <w:sz w:val="26"/>
          <w:szCs w:val="26"/>
          <w:lang w:eastAsia="ru-RU"/>
        </w:rPr>
        <w:t xml:space="preserve"> тыс. руб., а именно:</w:t>
      </w:r>
    </w:p>
    <w:p w:rsidR="00A93D39" w:rsidRDefault="00A93D39" w:rsidP="00A93D3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89"/>
        <w:gridCol w:w="1546"/>
        <w:gridCol w:w="1417"/>
        <w:gridCol w:w="1374"/>
        <w:gridCol w:w="1745"/>
      </w:tblGrid>
      <w:tr w:rsidR="00D15D34" w:rsidTr="000C7FEA">
        <w:trPr>
          <w:trHeight w:val="615"/>
        </w:trPr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FEA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</w:p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</w:tr>
      <w:tr w:rsidR="00D15D34" w:rsidTr="000C7FEA">
        <w:trPr>
          <w:trHeight w:val="375"/>
        </w:trPr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64 767,83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72 453,82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7 685,99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53 975,55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58 499,22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4 523,67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0C7F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15D34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45 006,78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3 601,88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0C7F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15D34"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12 570,65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13 492,44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921,79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10 318,74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13 418,79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3 100,05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Социальные выплаты гражданам, всего: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0C7FE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  <w:r w:rsidR="00D15D34">
              <w:rPr>
                <w:color w:val="000000"/>
                <w:sz w:val="26"/>
                <w:szCs w:val="26"/>
              </w:rPr>
              <w:t>118,69</w:t>
            </w:r>
          </w:p>
        </w:tc>
      </w:tr>
      <w:tr w:rsidR="00D15D34" w:rsidTr="000C7FEA">
        <w:trPr>
          <w:trHeight w:val="375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34" w:rsidRDefault="00D15D3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D34" w:rsidRDefault="00D15D3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-56,42</w:t>
            </w:r>
          </w:p>
        </w:tc>
      </w:tr>
    </w:tbl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0C7FEA" w:rsidRPr="00A51996" w:rsidRDefault="000C7FEA" w:rsidP="000C7F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Увеличение расходов по муниципальной услуге произошло преимущественно </w:t>
      </w:r>
      <w:proofErr w:type="gramStart"/>
      <w:r w:rsidRPr="00A51996">
        <w:rPr>
          <w:sz w:val="26"/>
          <w:szCs w:val="26"/>
        </w:rPr>
        <w:t>из-за</w:t>
      </w:r>
      <w:proofErr w:type="gramEnd"/>
      <w:r w:rsidRPr="00A51996">
        <w:rPr>
          <w:sz w:val="26"/>
          <w:szCs w:val="26"/>
        </w:rPr>
        <w:t>:</w:t>
      </w:r>
    </w:p>
    <w:p w:rsidR="000C7FEA" w:rsidRPr="008C33F6" w:rsidRDefault="000C7FEA" w:rsidP="000C7FEA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увеличения выплат по заработной плате работникам на </w:t>
      </w:r>
      <w:r>
        <w:rPr>
          <w:sz w:val="26"/>
          <w:szCs w:val="26"/>
        </w:rPr>
        <w:t>4 523,67</w:t>
      </w:r>
      <w:r w:rsidRPr="00A51996">
        <w:rPr>
          <w:sz w:val="26"/>
          <w:szCs w:val="26"/>
        </w:rPr>
        <w:t xml:space="preserve"> тыс. руб. или </w:t>
      </w:r>
      <w:r w:rsidRPr="008C33F6">
        <w:rPr>
          <w:sz w:val="26"/>
          <w:szCs w:val="26"/>
        </w:rPr>
        <w:t xml:space="preserve">на </w:t>
      </w:r>
      <w:r>
        <w:rPr>
          <w:sz w:val="26"/>
          <w:szCs w:val="26"/>
        </w:rPr>
        <w:t>8,38</w:t>
      </w:r>
      <w:r w:rsidRPr="008C33F6">
        <w:rPr>
          <w:sz w:val="26"/>
          <w:szCs w:val="26"/>
        </w:rPr>
        <w:t xml:space="preserve"> % в целях реализации указа Президента Российской Федерации от 07.05.2012 г. № 597 «О мероприятиях по реализации государственной социальной </w:t>
      </w:r>
      <w:r w:rsidRPr="008C33F6">
        <w:rPr>
          <w:sz w:val="26"/>
          <w:szCs w:val="26"/>
        </w:rPr>
        <w:lastRenderedPageBreak/>
        <w:t>политики»;</w:t>
      </w:r>
    </w:p>
    <w:p w:rsidR="000C7FEA" w:rsidRPr="008C33F6" w:rsidRDefault="000C7FEA" w:rsidP="000C7FEA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33F6">
        <w:rPr>
          <w:sz w:val="26"/>
          <w:szCs w:val="26"/>
        </w:rPr>
        <w:t xml:space="preserve">увеличением расходов на закупку товаров, работ, услуг на </w:t>
      </w:r>
      <w:r w:rsidR="009E1C33">
        <w:rPr>
          <w:sz w:val="26"/>
          <w:szCs w:val="26"/>
        </w:rPr>
        <w:t>3 100,05</w:t>
      </w:r>
      <w:r w:rsidRPr="008C33F6">
        <w:rPr>
          <w:sz w:val="26"/>
          <w:szCs w:val="26"/>
        </w:rPr>
        <w:t xml:space="preserve"> тыс. руб. или на </w:t>
      </w:r>
      <w:r>
        <w:rPr>
          <w:sz w:val="26"/>
          <w:szCs w:val="26"/>
        </w:rPr>
        <w:t>3</w:t>
      </w:r>
      <w:r w:rsidR="009E1C33">
        <w:rPr>
          <w:sz w:val="26"/>
          <w:szCs w:val="26"/>
        </w:rPr>
        <w:t>0,0</w:t>
      </w:r>
      <w:r w:rsidRPr="008C33F6">
        <w:rPr>
          <w:sz w:val="26"/>
          <w:szCs w:val="26"/>
        </w:rPr>
        <w:t xml:space="preserve"> % в связи с оплатой охраны объекта ЧОП</w:t>
      </w:r>
      <w:r w:rsidR="009E1C33">
        <w:rPr>
          <w:sz w:val="26"/>
          <w:szCs w:val="26"/>
        </w:rPr>
        <w:t xml:space="preserve"> и повышением цен на энергетические ресурсы</w:t>
      </w:r>
      <w:r w:rsidRPr="008C33F6">
        <w:rPr>
          <w:sz w:val="26"/>
          <w:szCs w:val="26"/>
        </w:rPr>
        <w:t xml:space="preserve">. </w:t>
      </w:r>
    </w:p>
    <w:p w:rsidR="002538C0" w:rsidRDefault="002538C0" w:rsidP="002538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762E" w:rsidRPr="00701D70" w:rsidRDefault="00AB762E" w:rsidP="00AB762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01D70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AB762E" w:rsidRPr="00701D70" w:rsidRDefault="00AB762E" w:rsidP="00AB762E">
      <w:pPr>
        <w:ind w:firstLine="709"/>
        <w:jc w:val="both"/>
        <w:rPr>
          <w:sz w:val="26"/>
          <w:szCs w:val="26"/>
        </w:rPr>
      </w:pPr>
    </w:p>
    <w:p w:rsidR="009E1C33" w:rsidRPr="00B033C5" w:rsidRDefault="009E1C33" w:rsidP="009E1C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033C5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Учреждение разместило 4 показателя, характеризующих качество оказываемой муниципальной услуги по реализации основных общеобразовательных программ среднего общего образования: 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8E547A">
        <w:rPr>
          <w:sz w:val="26"/>
          <w:szCs w:val="26"/>
          <w:lang w:eastAsia="ru-RU"/>
        </w:rPr>
        <w:t>обучающимися</w:t>
      </w:r>
      <w:proofErr w:type="gramEnd"/>
      <w:r w:rsidRPr="008E547A">
        <w:rPr>
          <w:sz w:val="26"/>
          <w:szCs w:val="26"/>
          <w:lang w:eastAsia="ru-RU"/>
        </w:rPr>
        <w:t xml:space="preserve"> основн</w:t>
      </w:r>
      <w:r w:rsidR="00AB762E">
        <w:rPr>
          <w:sz w:val="26"/>
          <w:szCs w:val="26"/>
          <w:lang w:eastAsia="ru-RU"/>
        </w:rPr>
        <w:t>ых</w:t>
      </w:r>
      <w:r w:rsidRPr="008E547A">
        <w:rPr>
          <w:sz w:val="26"/>
          <w:szCs w:val="26"/>
          <w:lang w:eastAsia="ru-RU"/>
        </w:rPr>
        <w:t xml:space="preserve"> </w:t>
      </w:r>
      <w:r w:rsidR="00AB762E">
        <w:rPr>
          <w:sz w:val="26"/>
          <w:szCs w:val="26"/>
          <w:lang w:eastAsia="ru-RU"/>
        </w:rPr>
        <w:t>обще</w:t>
      </w:r>
      <w:r w:rsidRPr="008E547A">
        <w:rPr>
          <w:sz w:val="26"/>
          <w:szCs w:val="26"/>
          <w:lang w:eastAsia="ru-RU"/>
        </w:rPr>
        <w:t>образовательн</w:t>
      </w:r>
      <w:r w:rsidR="00AB762E">
        <w:rPr>
          <w:sz w:val="26"/>
          <w:szCs w:val="26"/>
          <w:lang w:eastAsia="ru-RU"/>
        </w:rPr>
        <w:t>ых</w:t>
      </w:r>
      <w:r w:rsidRPr="008E547A">
        <w:rPr>
          <w:sz w:val="26"/>
          <w:szCs w:val="26"/>
          <w:lang w:eastAsia="ru-RU"/>
        </w:rPr>
        <w:t xml:space="preserve"> программ начального общего, основного общего, среднего общего образования по завершени</w:t>
      </w:r>
      <w:r w:rsidR="00AB762E">
        <w:rPr>
          <w:sz w:val="26"/>
          <w:szCs w:val="26"/>
          <w:lang w:eastAsia="ru-RU"/>
        </w:rPr>
        <w:t>ю первой, второй, третьей ступеней</w:t>
      </w:r>
      <w:r w:rsidRPr="008E547A">
        <w:rPr>
          <w:sz w:val="26"/>
          <w:szCs w:val="26"/>
          <w:lang w:eastAsia="ru-RU"/>
        </w:rPr>
        <w:t xml:space="preserve"> общего образования – исполнение </w:t>
      </w:r>
      <w:r w:rsidR="009E1C33">
        <w:rPr>
          <w:sz w:val="26"/>
          <w:szCs w:val="26"/>
          <w:lang w:eastAsia="ru-RU"/>
        </w:rPr>
        <w:t>98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 xml:space="preserve">Полнота реализации основной </w:t>
      </w:r>
      <w:r w:rsidR="009E1C33">
        <w:rPr>
          <w:sz w:val="26"/>
          <w:szCs w:val="26"/>
          <w:lang w:eastAsia="ru-RU"/>
        </w:rPr>
        <w:t>обще</w:t>
      </w:r>
      <w:r w:rsidRPr="008E547A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 xml:space="preserve">– исполнение </w:t>
      </w:r>
      <w:r w:rsidR="009E1C33">
        <w:rPr>
          <w:sz w:val="26"/>
          <w:szCs w:val="26"/>
          <w:lang w:eastAsia="ru-RU"/>
        </w:rPr>
        <w:t>97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– исполнение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 при плане 100</w:t>
      </w:r>
      <w:r w:rsidR="005037C0">
        <w:rPr>
          <w:sz w:val="26"/>
          <w:szCs w:val="26"/>
          <w:lang w:eastAsia="ru-RU"/>
        </w:rPr>
        <w:t xml:space="preserve"> </w:t>
      </w:r>
      <w:r w:rsidRPr="008E547A">
        <w:rPr>
          <w:sz w:val="26"/>
          <w:szCs w:val="26"/>
          <w:lang w:eastAsia="ru-RU"/>
        </w:rPr>
        <w:t>%;</w:t>
      </w:r>
    </w:p>
    <w:p w:rsidR="008E547A" w:rsidRPr="008E547A" w:rsidRDefault="008E547A" w:rsidP="008E547A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E547A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</w:t>
      </w:r>
      <w:r w:rsidR="006D24E6">
        <w:rPr>
          <w:sz w:val="26"/>
          <w:szCs w:val="26"/>
          <w:lang w:eastAsia="ru-RU"/>
        </w:rPr>
        <w:t>ставл</w:t>
      </w:r>
      <w:r w:rsidR="00AB762E">
        <w:rPr>
          <w:sz w:val="26"/>
          <w:szCs w:val="26"/>
          <w:lang w:eastAsia="ru-RU"/>
        </w:rPr>
        <w:t>яемой</w:t>
      </w:r>
      <w:r w:rsidR="006D24E6">
        <w:rPr>
          <w:sz w:val="26"/>
          <w:szCs w:val="26"/>
          <w:lang w:eastAsia="ru-RU"/>
        </w:rPr>
        <w:t xml:space="preserve">  услуги</w:t>
      </w:r>
      <w:r w:rsidR="005037C0">
        <w:rPr>
          <w:sz w:val="26"/>
          <w:szCs w:val="26"/>
          <w:lang w:eastAsia="ru-RU"/>
        </w:rPr>
        <w:t xml:space="preserve"> </w:t>
      </w:r>
      <w:r w:rsidR="006D24E6">
        <w:rPr>
          <w:sz w:val="26"/>
          <w:szCs w:val="26"/>
          <w:lang w:eastAsia="ru-RU"/>
        </w:rPr>
        <w:t>– исполнение 9</w:t>
      </w:r>
      <w:r w:rsidR="009E1C33">
        <w:rPr>
          <w:sz w:val="26"/>
          <w:szCs w:val="26"/>
          <w:lang w:eastAsia="ru-RU"/>
        </w:rPr>
        <w:t>7</w:t>
      </w:r>
      <w:r w:rsidR="005037C0">
        <w:rPr>
          <w:sz w:val="26"/>
          <w:szCs w:val="26"/>
          <w:lang w:eastAsia="ru-RU"/>
        </w:rPr>
        <w:t xml:space="preserve"> % при плане 99 </w:t>
      </w:r>
      <w:r w:rsidR="006D24E6">
        <w:rPr>
          <w:sz w:val="26"/>
          <w:szCs w:val="26"/>
          <w:lang w:eastAsia="ru-RU"/>
        </w:rPr>
        <w:t>%.</w:t>
      </w:r>
    </w:p>
    <w:p w:rsidR="009E1C33" w:rsidRDefault="009E1C33" w:rsidP="009E1C3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F5A88">
        <w:rPr>
          <w:sz w:val="26"/>
          <w:szCs w:val="26"/>
        </w:rPr>
        <w:t xml:space="preserve">Для уникального номера реестровой записи 802112О.99.0.ББ11АГ00000, который указан в отчете о выполнении муниципального задания, показатели характеризующие качество муниципальной услуги </w:t>
      </w:r>
      <w:r w:rsidRPr="00AF5A88">
        <w:rPr>
          <w:b/>
          <w:sz w:val="26"/>
          <w:szCs w:val="26"/>
        </w:rPr>
        <w:t>не предусмотрены</w:t>
      </w:r>
      <w:r w:rsidRPr="00AF5A88">
        <w:rPr>
          <w:sz w:val="26"/>
          <w:szCs w:val="26"/>
        </w:rPr>
        <w:t>, т. е. в муниципальном задании, как и в отчете не указываются.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657342" w:rsidP="005037C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991030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5037C0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5037C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5037C0" w:rsidRPr="00D31104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ED487A" w:rsidRPr="002B281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D487A" w:rsidRPr="002B2810">
        <w:rPr>
          <w:sz w:val="26"/>
          <w:szCs w:val="26"/>
        </w:rPr>
        <w:t xml:space="preserve">иректор  МБОУ </w:t>
      </w:r>
      <w:r w:rsidR="00ED487A" w:rsidRPr="002B2810">
        <w:rPr>
          <w:sz w:val="26"/>
          <w:szCs w:val="26"/>
          <w:lang w:eastAsia="ru-RU"/>
        </w:rPr>
        <w:t>«</w:t>
      </w:r>
      <w:r w:rsidR="00ED487A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ПМО</w:t>
      </w:r>
      <w:r w:rsidR="00ED487A" w:rsidRPr="002B2810">
        <w:rPr>
          <w:sz w:val="26"/>
          <w:szCs w:val="26"/>
          <w:lang w:eastAsia="ru-RU"/>
        </w:rPr>
        <w:t>»</w:t>
      </w:r>
      <w:r w:rsidR="00ED487A" w:rsidRPr="002B2810">
        <w:rPr>
          <w:sz w:val="26"/>
          <w:szCs w:val="26"/>
          <w:lang w:eastAsia="ru-RU"/>
        </w:rPr>
        <w:tab/>
      </w:r>
      <w:r w:rsidR="00ED487A" w:rsidRPr="002B2810">
        <w:rPr>
          <w:sz w:val="26"/>
          <w:szCs w:val="26"/>
          <w:lang w:eastAsia="ru-RU"/>
        </w:rPr>
        <w:tab/>
        <w:t xml:space="preserve">     </w:t>
      </w:r>
      <w:r w:rsidR="00ED487A" w:rsidRPr="002B2810">
        <w:rPr>
          <w:sz w:val="26"/>
          <w:szCs w:val="26"/>
        </w:rPr>
        <w:t xml:space="preserve">           </w:t>
      </w:r>
      <w:r w:rsidR="00790B7F">
        <w:rPr>
          <w:sz w:val="26"/>
          <w:szCs w:val="26"/>
        </w:rPr>
        <w:t xml:space="preserve"> </w:t>
      </w:r>
      <w:r w:rsidR="009E1C33">
        <w:rPr>
          <w:sz w:val="26"/>
          <w:szCs w:val="26"/>
        </w:rPr>
        <w:t>Федосенко Л. М.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F" w:rsidRDefault="001376DF" w:rsidP="00FE2BFF">
      <w:r>
        <w:separator/>
      </w:r>
    </w:p>
  </w:endnote>
  <w:endnote w:type="continuationSeparator" w:id="0">
    <w:p w:rsidR="001376DF" w:rsidRDefault="001376DF" w:rsidP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7937"/>
      <w:docPartObj>
        <w:docPartGallery w:val="Page Numbers (Bottom of Page)"/>
        <w:docPartUnique/>
      </w:docPartObj>
    </w:sdtPr>
    <w:sdtEndPr/>
    <w:sdtContent>
      <w:p w:rsidR="00FE2BFF" w:rsidRDefault="00FE2B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253">
          <w:rPr>
            <w:noProof/>
          </w:rPr>
          <w:t>2</w:t>
        </w:r>
        <w:r>
          <w:fldChar w:fldCharType="end"/>
        </w:r>
      </w:p>
    </w:sdtContent>
  </w:sdt>
  <w:p w:rsidR="00FE2BFF" w:rsidRDefault="00FE2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F" w:rsidRDefault="001376DF" w:rsidP="00FE2BFF">
      <w:r>
        <w:separator/>
      </w:r>
    </w:p>
  </w:footnote>
  <w:footnote w:type="continuationSeparator" w:id="0">
    <w:p w:rsidR="001376DF" w:rsidRDefault="001376DF" w:rsidP="00FE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2C2A"/>
    <w:rsid w:val="00055A80"/>
    <w:rsid w:val="000579B5"/>
    <w:rsid w:val="00061AEE"/>
    <w:rsid w:val="00063AC8"/>
    <w:rsid w:val="00071A07"/>
    <w:rsid w:val="00072076"/>
    <w:rsid w:val="000B0207"/>
    <w:rsid w:val="000C7FEA"/>
    <w:rsid w:val="000F4F79"/>
    <w:rsid w:val="00101CC5"/>
    <w:rsid w:val="001124F1"/>
    <w:rsid w:val="00113B8E"/>
    <w:rsid w:val="001162A4"/>
    <w:rsid w:val="00120061"/>
    <w:rsid w:val="001202E9"/>
    <w:rsid w:val="0012141E"/>
    <w:rsid w:val="0012656C"/>
    <w:rsid w:val="00127FAF"/>
    <w:rsid w:val="001376DF"/>
    <w:rsid w:val="0016072F"/>
    <w:rsid w:val="00162F12"/>
    <w:rsid w:val="001652C4"/>
    <w:rsid w:val="00167AC8"/>
    <w:rsid w:val="00176D18"/>
    <w:rsid w:val="00182257"/>
    <w:rsid w:val="001C5BCC"/>
    <w:rsid w:val="001C752F"/>
    <w:rsid w:val="001D26D1"/>
    <w:rsid w:val="001E06F3"/>
    <w:rsid w:val="001F1375"/>
    <w:rsid w:val="001F68E4"/>
    <w:rsid w:val="001F721B"/>
    <w:rsid w:val="00203839"/>
    <w:rsid w:val="00206294"/>
    <w:rsid w:val="0020757D"/>
    <w:rsid w:val="00223D4C"/>
    <w:rsid w:val="00233640"/>
    <w:rsid w:val="00237160"/>
    <w:rsid w:val="0024406F"/>
    <w:rsid w:val="0024412A"/>
    <w:rsid w:val="00245202"/>
    <w:rsid w:val="00247B6A"/>
    <w:rsid w:val="002538C0"/>
    <w:rsid w:val="00253B33"/>
    <w:rsid w:val="00260441"/>
    <w:rsid w:val="002821DB"/>
    <w:rsid w:val="00293671"/>
    <w:rsid w:val="00294E52"/>
    <w:rsid w:val="002B4DEB"/>
    <w:rsid w:val="002C40BD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856CA"/>
    <w:rsid w:val="003A00C9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2665B"/>
    <w:rsid w:val="004301A8"/>
    <w:rsid w:val="00447164"/>
    <w:rsid w:val="0045073B"/>
    <w:rsid w:val="00451DAB"/>
    <w:rsid w:val="00453A51"/>
    <w:rsid w:val="004614AF"/>
    <w:rsid w:val="004654CF"/>
    <w:rsid w:val="004733F3"/>
    <w:rsid w:val="00473CA3"/>
    <w:rsid w:val="00480D6F"/>
    <w:rsid w:val="00485AFF"/>
    <w:rsid w:val="004C558A"/>
    <w:rsid w:val="004D16EE"/>
    <w:rsid w:val="004F4236"/>
    <w:rsid w:val="005037C0"/>
    <w:rsid w:val="005115A2"/>
    <w:rsid w:val="0052682C"/>
    <w:rsid w:val="00537C2D"/>
    <w:rsid w:val="00545C7F"/>
    <w:rsid w:val="00546253"/>
    <w:rsid w:val="005616B6"/>
    <w:rsid w:val="005732B2"/>
    <w:rsid w:val="0059209F"/>
    <w:rsid w:val="005B2F15"/>
    <w:rsid w:val="005C5740"/>
    <w:rsid w:val="005D5C17"/>
    <w:rsid w:val="005E00A2"/>
    <w:rsid w:val="005E247F"/>
    <w:rsid w:val="005E5D54"/>
    <w:rsid w:val="005F7B59"/>
    <w:rsid w:val="00601F78"/>
    <w:rsid w:val="006249F0"/>
    <w:rsid w:val="006326FE"/>
    <w:rsid w:val="00642233"/>
    <w:rsid w:val="00651EC7"/>
    <w:rsid w:val="00652183"/>
    <w:rsid w:val="00657342"/>
    <w:rsid w:val="00671214"/>
    <w:rsid w:val="00683F7A"/>
    <w:rsid w:val="006930CE"/>
    <w:rsid w:val="00696CD5"/>
    <w:rsid w:val="006B1660"/>
    <w:rsid w:val="006B181D"/>
    <w:rsid w:val="006B4D31"/>
    <w:rsid w:val="006B6083"/>
    <w:rsid w:val="006B6BD5"/>
    <w:rsid w:val="006B6CD8"/>
    <w:rsid w:val="006B6DBA"/>
    <w:rsid w:val="006D24E6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B7F"/>
    <w:rsid w:val="007A7466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34F93"/>
    <w:rsid w:val="008555C2"/>
    <w:rsid w:val="00860AFC"/>
    <w:rsid w:val="00865AAC"/>
    <w:rsid w:val="00895ED0"/>
    <w:rsid w:val="008A4CBA"/>
    <w:rsid w:val="008A4F0F"/>
    <w:rsid w:val="008C0B2B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159"/>
    <w:rsid w:val="0095275F"/>
    <w:rsid w:val="00963727"/>
    <w:rsid w:val="009716FB"/>
    <w:rsid w:val="009729AD"/>
    <w:rsid w:val="00973A99"/>
    <w:rsid w:val="00991030"/>
    <w:rsid w:val="009A5677"/>
    <w:rsid w:val="009A74B7"/>
    <w:rsid w:val="009B61B3"/>
    <w:rsid w:val="009B6D50"/>
    <w:rsid w:val="009C3ED5"/>
    <w:rsid w:val="009E1C33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66F01"/>
    <w:rsid w:val="00A744E8"/>
    <w:rsid w:val="00A74537"/>
    <w:rsid w:val="00A81F5A"/>
    <w:rsid w:val="00A86A4D"/>
    <w:rsid w:val="00A928CF"/>
    <w:rsid w:val="00A93D39"/>
    <w:rsid w:val="00AB762E"/>
    <w:rsid w:val="00AC4087"/>
    <w:rsid w:val="00AC75C3"/>
    <w:rsid w:val="00AD475A"/>
    <w:rsid w:val="00B43B13"/>
    <w:rsid w:val="00B4543C"/>
    <w:rsid w:val="00B46ED4"/>
    <w:rsid w:val="00B57089"/>
    <w:rsid w:val="00B639B7"/>
    <w:rsid w:val="00B70B9E"/>
    <w:rsid w:val="00B7588D"/>
    <w:rsid w:val="00B8104A"/>
    <w:rsid w:val="00BA3483"/>
    <w:rsid w:val="00BA4C53"/>
    <w:rsid w:val="00BC19BA"/>
    <w:rsid w:val="00BD36B6"/>
    <w:rsid w:val="00BE0E3D"/>
    <w:rsid w:val="00BE720C"/>
    <w:rsid w:val="00BE76BA"/>
    <w:rsid w:val="00BF2B6A"/>
    <w:rsid w:val="00BF56E3"/>
    <w:rsid w:val="00BF6742"/>
    <w:rsid w:val="00BF7DE1"/>
    <w:rsid w:val="00C00DFC"/>
    <w:rsid w:val="00C04BC0"/>
    <w:rsid w:val="00C10371"/>
    <w:rsid w:val="00C230D3"/>
    <w:rsid w:val="00C24D65"/>
    <w:rsid w:val="00C36CB3"/>
    <w:rsid w:val="00C41464"/>
    <w:rsid w:val="00C50A24"/>
    <w:rsid w:val="00C55FBC"/>
    <w:rsid w:val="00C84E02"/>
    <w:rsid w:val="00C8555C"/>
    <w:rsid w:val="00CA01C6"/>
    <w:rsid w:val="00CA29AD"/>
    <w:rsid w:val="00CA5C2E"/>
    <w:rsid w:val="00CB47D3"/>
    <w:rsid w:val="00CC0163"/>
    <w:rsid w:val="00CC62D5"/>
    <w:rsid w:val="00CD6D6D"/>
    <w:rsid w:val="00CE646F"/>
    <w:rsid w:val="00D10F97"/>
    <w:rsid w:val="00D13C71"/>
    <w:rsid w:val="00D15D34"/>
    <w:rsid w:val="00D31104"/>
    <w:rsid w:val="00D4314A"/>
    <w:rsid w:val="00D5782B"/>
    <w:rsid w:val="00D57899"/>
    <w:rsid w:val="00D67FC2"/>
    <w:rsid w:val="00D7742F"/>
    <w:rsid w:val="00D844C9"/>
    <w:rsid w:val="00D8492D"/>
    <w:rsid w:val="00D96B12"/>
    <w:rsid w:val="00DA4D65"/>
    <w:rsid w:val="00DC1EFC"/>
    <w:rsid w:val="00DC744D"/>
    <w:rsid w:val="00DC757F"/>
    <w:rsid w:val="00DD22D5"/>
    <w:rsid w:val="00DE5573"/>
    <w:rsid w:val="00DF0F01"/>
    <w:rsid w:val="00E02F11"/>
    <w:rsid w:val="00E0511C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604D"/>
    <w:rsid w:val="00F70402"/>
    <w:rsid w:val="00F73467"/>
    <w:rsid w:val="00F75F57"/>
    <w:rsid w:val="00F848E9"/>
    <w:rsid w:val="00FA71A9"/>
    <w:rsid w:val="00FB2DEA"/>
    <w:rsid w:val="00FC2801"/>
    <w:rsid w:val="00FD24CF"/>
    <w:rsid w:val="00FE2BF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1915-239C-4CF7-8774-8A97B979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139</cp:revision>
  <cp:lastPrinted>2021-08-09T07:52:00Z</cp:lastPrinted>
  <dcterms:created xsi:type="dcterms:W3CDTF">2015-01-29T23:28:00Z</dcterms:created>
  <dcterms:modified xsi:type="dcterms:W3CDTF">2023-04-03T07:02:00Z</dcterms:modified>
</cp:coreProperties>
</file>